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69" w:rsidRPr="009D6293" w:rsidRDefault="00E81E69" w:rsidP="003751B6">
      <w:pPr>
        <w:pStyle w:val="Heading1"/>
        <w:rPr>
          <w:b w:val="0"/>
        </w:rPr>
      </w:pPr>
      <w:r w:rsidRPr="009D6293">
        <w:t xml:space="preserve">Data Privacy Legislation: </w:t>
      </w:r>
    </w:p>
    <w:p w:rsidR="00E81E69" w:rsidRPr="009D6293" w:rsidRDefault="00E81E69" w:rsidP="003751B6">
      <w:pPr>
        <w:pStyle w:val="Heading1"/>
        <w:rPr>
          <w:b w:val="0"/>
        </w:rPr>
      </w:pPr>
      <w:r w:rsidRPr="009D6293">
        <w:t xml:space="preserve">An Analysis of the Current Legislative Landscape and </w:t>
      </w:r>
    </w:p>
    <w:p w:rsidR="00E81E69" w:rsidRPr="003751B6" w:rsidRDefault="00E81E69" w:rsidP="003751B6">
      <w:pPr>
        <w:pStyle w:val="Heading1"/>
      </w:pPr>
      <w:proofErr w:type="gramStart"/>
      <w:r w:rsidRPr="009D6293">
        <w:t>the</w:t>
      </w:r>
      <w:proofErr w:type="gramEnd"/>
      <w:r w:rsidRPr="009D6293">
        <w:t xml:space="preserve"> Implications for Higher Education</w:t>
      </w:r>
    </w:p>
    <w:p w:rsidR="00E81E69" w:rsidRPr="00E81E69" w:rsidRDefault="00E81E69"/>
    <w:p w:rsidR="00E81E69" w:rsidRPr="003751B6" w:rsidRDefault="00E81E69">
      <w:pPr>
        <w:rPr>
          <w:rStyle w:val="Strong"/>
        </w:rPr>
      </w:pPr>
      <w:r w:rsidRPr="003751B6">
        <w:rPr>
          <w:rStyle w:val="Strong"/>
        </w:rPr>
        <w:t>Scope of the Issue</w:t>
      </w:r>
    </w:p>
    <w:p w:rsidR="00E81E69" w:rsidRPr="00E81E69" w:rsidRDefault="00E81E69">
      <w:r w:rsidRPr="00E81E69">
        <w:t>With the ubiquity of mobile devices and the increases in data breaches, Congress has responded with bipartisan support for comprehensive privacy legislation.</w:t>
      </w:r>
      <w:r>
        <w:t xml:space="preserve"> </w:t>
      </w:r>
      <w:r w:rsidRPr="00E81E69">
        <w:t xml:space="preserve">As of August 2011, 18 bills have been </w:t>
      </w:r>
      <w:r w:rsidRPr="009D6293">
        <w:t>introduced in the 112th Congress concerning data privacy. EDUCAUSE continues to follow this issue</w:t>
      </w:r>
      <w:r w:rsidRPr="00E81E69">
        <w:t xml:space="preserve"> and has reported on several of these bills in earlier </w:t>
      </w:r>
      <w:r w:rsidRPr="003751B6">
        <w:rPr>
          <w:i/>
        </w:rPr>
        <w:t>Policy Update</w:t>
      </w:r>
      <w:r>
        <w:t xml:space="preserve"> blog </w:t>
      </w:r>
      <w:r w:rsidRPr="00E81E69">
        <w:t>posts</w:t>
      </w:r>
      <w:r w:rsidR="00BC0AEE">
        <w:t>.</w:t>
      </w:r>
      <w:r w:rsidR="00BC0AEE">
        <w:rPr>
          <w:rStyle w:val="FootnoteReference"/>
        </w:rPr>
        <w:footnoteReference w:id="1"/>
      </w:r>
      <w:r>
        <w:t xml:space="preserve"> </w:t>
      </w:r>
      <w:r w:rsidR="00996460">
        <w:t>There are numerous websites and blogs that are following privacy legislation. For example,</w:t>
      </w:r>
      <w:r w:rsidR="00525B3D">
        <w:t xml:space="preserve"> </w:t>
      </w:r>
      <w:r w:rsidR="00996460">
        <w:t>a</w:t>
      </w:r>
      <w:r w:rsidRPr="00E81E69">
        <w:t xml:space="preserve">n </w:t>
      </w:r>
      <w:r w:rsidRPr="003751B6">
        <w:rPr>
          <w:rFonts w:asciiTheme="minorHAnsi" w:hAnsiTheme="minorHAnsi" w:cstheme="minorHAnsi"/>
        </w:rPr>
        <w:t xml:space="preserve">interesting </w:t>
      </w:r>
      <w:r w:rsidR="00BC0AEE" w:rsidRPr="003751B6">
        <w:rPr>
          <w:rFonts w:asciiTheme="minorHAnsi" w:hAnsiTheme="minorHAnsi" w:cstheme="minorHAnsi"/>
        </w:rPr>
        <w:t>graphic</w:t>
      </w:r>
      <w:r w:rsidR="00BC0AEE" w:rsidRPr="003751B6">
        <w:rPr>
          <w:rStyle w:val="FootnoteReference"/>
        </w:rPr>
        <w:footnoteReference w:id="2"/>
      </w:r>
      <w:r w:rsidRPr="00E81E69">
        <w:t xml:space="preserve"> illustrates the overlap among the bills and </w:t>
      </w:r>
      <w:r w:rsidR="007E0DA3">
        <w:t>the</w:t>
      </w:r>
      <w:r w:rsidR="00BC0AEE" w:rsidRPr="00E81E69">
        <w:t xml:space="preserve"> </w:t>
      </w:r>
      <w:r w:rsidR="007E0DA3" w:rsidRPr="003751B6">
        <w:t>blog</w:t>
      </w:r>
      <w:r w:rsidR="00996460">
        <w:t xml:space="preserve"> </w:t>
      </w:r>
      <w:r w:rsidR="00BC0AEE">
        <w:t>entry</w:t>
      </w:r>
      <w:r w:rsidR="007E0DA3">
        <w:t>, “112th</w:t>
      </w:r>
      <w:r w:rsidR="00BC0AEE">
        <w:t xml:space="preserve"> </w:t>
      </w:r>
      <w:r w:rsidR="007E0DA3">
        <w:t xml:space="preserve">Privacy Legislation” by Tim </w:t>
      </w:r>
      <w:proofErr w:type="spellStart"/>
      <w:r w:rsidR="007E0DA3">
        <w:t>Lisko</w:t>
      </w:r>
      <w:proofErr w:type="spellEnd"/>
      <w:r w:rsidR="007E0DA3">
        <w:rPr>
          <w:rStyle w:val="FootnoteReference"/>
        </w:rPr>
        <w:footnoteReference w:id="3"/>
      </w:r>
      <w:r w:rsidR="007E0DA3">
        <w:t xml:space="preserve"> </w:t>
      </w:r>
      <w:r w:rsidRPr="00E81E69">
        <w:t>details each piece of legislation as it moves through the legislative process.</w:t>
      </w:r>
    </w:p>
    <w:p w:rsidR="00E81E69" w:rsidRDefault="00E81E69"/>
    <w:p w:rsidR="00E81E69" w:rsidRPr="00E81E69" w:rsidRDefault="00E81E69">
      <w:r w:rsidRPr="00E81E69">
        <w:t xml:space="preserve">These </w:t>
      </w:r>
      <w:r>
        <w:t xml:space="preserve">privacy </w:t>
      </w:r>
      <w:r w:rsidRPr="00E81E69">
        <w:t xml:space="preserve">bills generally fall into three distinct areas: comprehensive online privacy protection, </w:t>
      </w:r>
      <w:proofErr w:type="spellStart"/>
      <w:r w:rsidRPr="00E81E69">
        <w:t>geolocation</w:t>
      </w:r>
      <w:proofErr w:type="spellEnd"/>
      <w:r w:rsidRPr="00E81E69">
        <w:t xml:space="preserve"> and mobile devices, and data security and breach notification.</w:t>
      </w:r>
      <w:r>
        <w:t xml:space="preserve"> </w:t>
      </w:r>
      <w:r w:rsidRPr="00E81E69">
        <w:t>If enacted, many of the bills have implications for data collection, storage, and use that could affect higher education and campus IT operations and academic research.</w:t>
      </w:r>
      <w:r>
        <w:t xml:space="preserve"> </w:t>
      </w:r>
    </w:p>
    <w:p w:rsidR="00E81E69" w:rsidRDefault="00E81E69"/>
    <w:p w:rsidR="00E81E69" w:rsidRPr="003751B6" w:rsidRDefault="00E81E69">
      <w:pPr>
        <w:rPr>
          <w:rStyle w:val="Strong"/>
        </w:rPr>
      </w:pPr>
      <w:r w:rsidRPr="003751B6">
        <w:rPr>
          <w:rStyle w:val="Strong"/>
        </w:rPr>
        <w:t>Online Privacy Protection</w:t>
      </w:r>
    </w:p>
    <w:p w:rsidR="00E81E69" w:rsidRDefault="00E81E69" w:rsidP="003751B6">
      <w:r w:rsidRPr="00E81E69">
        <w:t>Comprehensive privacy protection bills, including those introduced by Rep. Rush (D-IL) (</w:t>
      </w:r>
      <w:r w:rsidR="00B81657" w:rsidRPr="003751B6">
        <w:t>H.R. 611</w:t>
      </w:r>
      <w:r w:rsidR="00B81657">
        <w:t>)</w:t>
      </w:r>
      <w:r w:rsidRPr="00E81E69">
        <w:t>, Rep. Stearns (R-FL) (</w:t>
      </w:r>
      <w:r w:rsidR="00B81657" w:rsidRPr="003751B6">
        <w:t>H.R. 1528</w:t>
      </w:r>
      <w:r w:rsidR="00B81657">
        <w:t>)</w:t>
      </w:r>
      <w:r w:rsidRPr="00E81E69">
        <w:t xml:space="preserve">, Rep. </w:t>
      </w:r>
      <w:proofErr w:type="spellStart"/>
      <w:r w:rsidRPr="00E81E69">
        <w:t>Speier</w:t>
      </w:r>
      <w:proofErr w:type="spellEnd"/>
      <w:r w:rsidRPr="00E81E69">
        <w:t xml:space="preserve"> (D-CA) (</w:t>
      </w:r>
      <w:r w:rsidR="00B81657" w:rsidRPr="003751B6">
        <w:t>H.R. 653</w:t>
      </w:r>
      <w:r w:rsidRPr="00E81E69">
        <w:t xml:space="preserve"> and </w:t>
      </w:r>
      <w:r w:rsidR="00B81657" w:rsidRPr="003751B6">
        <w:t>H.R. 654</w:t>
      </w:r>
      <w:r w:rsidRPr="00E81E69">
        <w:t>), Sen. Kerry (D-MA) and Sen. McCain (R-AZ) (</w:t>
      </w:r>
      <w:r w:rsidR="00B81657" w:rsidRPr="003751B6">
        <w:t>S. 799</w:t>
      </w:r>
      <w:r w:rsidR="00B81657">
        <w:t>)</w:t>
      </w:r>
      <w:r w:rsidRPr="00E81E69">
        <w:t>, aim to foster transparency about the commercial use of personal information and provide consumers with meaningful choice about the collection, use, and disclosure of their personal information.</w:t>
      </w:r>
      <w:r>
        <w:t xml:space="preserve"> </w:t>
      </w:r>
      <w:r w:rsidRPr="00E81E69">
        <w:t>The Kerry-McCain bill also provides a safe harbor for organizations that participate in industry self-regulatory consumer privacy and data security programs.</w:t>
      </w:r>
    </w:p>
    <w:p w:rsidR="00E81E69" w:rsidRPr="00E81E69" w:rsidRDefault="00E81E69" w:rsidP="003751B6"/>
    <w:p w:rsidR="00E81E69" w:rsidRDefault="00E81E69">
      <w:pPr>
        <w:rPr>
          <w:rFonts w:eastAsia="Times New Roman"/>
        </w:rPr>
      </w:pPr>
      <w:r w:rsidRPr="00E81E69">
        <w:t>Sen. Rockefeller (D-WV) has introduced “Do Not Track” legislation (</w:t>
      </w:r>
      <w:r w:rsidR="00B81657" w:rsidRPr="003751B6">
        <w:t>S. 913</w:t>
      </w:r>
      <w:r w:rsidRPr="00E81E69">
        <w:t>) that fills a gap in the Kerry-McCain legislation by letting consumers opt-out of having their online behavior tracked, plus it sets up a legal framework to regulate violators.</w:t>
      </w:r>
      <w:r>
        <w:t xml:space="preserve"> </w:t>
      </w:r>
      <w:r w:rsidRPr="00E81E69">
        <w:t>Rep. Markey (D-MA) and Rep. Barton (R-TX) (</w:t>
      </w:r>
      <w:r w:rsidR="00B81657" w:rsidRPr="003751B6">
        <w:t>H.R. 1895</w:t>
      </w:r>
      <w:r w:rsidR="00B81657">
        <w:t>)</w:t>
      </w:r>
      <w:r w:rsidRPr="00E81E69">
        <w:t xml:space="preserve"> have </w:t>
      </w:r>
      <w:r w:rsidRPr="00E81E69">
        <w:lastRenderedPageBreak/>
        <w:t xml:space="preserve">offered a bill that amends the </w:t>
      </w:r>
      <w:r w:rsidR="00B81657" w:rsidRPr="003751B6">
        <w:t>Children’s Online Privacy Protection Act</w:t>
      </w:r>
      <w:r>
        <w:t xml:space="preserve"> </w:t>
      </w:r>
      <w:r w:rsidRPr="00E81E69">
        <w:t>(COPPA)</w:t>
      </w:r>
      <w:r w:rsidR="00B81657">
        <w:rPr>
          <w:rStyle w:val="FootnoteReference"/>
        </w:rPr>
        <w:footnoteReference w:id="4"/>
      </w:r>
      <w:r w:rsidRPr="00E81E69">
        <w:t xml:space="preserve"> to extend, enhance, and update the provisions relating to the collection, use, and disclosure of children</w:t>
      </w:r>
      <w:r w:rsidR="009A11F9">
        <w:t>’</w:t>
      </w:r>
      <w:r w:rsidRPr="00E81E69">
        <w:t>s personal information</w:t>
      </w:r>
      <w:r w:rsidR="009A11F9">
        <w:t>. The Markey-Barton bill further</w:t>
      </w:r>
      <w:r w:rsidRPr="00E81E69">
        <w:t xml:space="preserve"> establishes new protections for personal information of children and teens.</w:t>
      </w:r>
      <w:r>
        <w:t xml:space="preserve"> </w:t>
      </w:r>
      <w:r w:rsidRPr="00E81E69">
        <w:t xml:space="preserve">This bill </w:t>
      </w:r>
      <w:r w:rsidRPr="00E81E69">
        <w:rPr>
          <w:rFonts w:eastAsia="Times New Roman"/>
        </w:rPr>
        <w:t>would go well beyond existing federal law. The Children</w:t>
      </w:r>
      <w:r w:rsidR="009A11F9">
        <w:rPr>
          <w:rFonts w:eastAsia="Times New Roman"/>
        </w:rPr>
        <w:t>’</w:t>
      </w:r>
      <w:r w:rsidRPr="00E81E69">
        <w:rPr>
          <w:rFonts w:eastAsia="Times New Roman"/>
        </w:rPr>
        <w:t xml:space="preserve">s Online Privacy Protection Act of 1998 only requires websites aimed at children under 13 </w:t>
      </w:r>
      <w:r w:rsidR="00C37E55">
        <w:rPr>
          <w:rFonts w:eastAsia="Times New Roman"/>
        </w:rPr>
        <w:t xml:space="preserve">years old </w:t>
      </w:r>
      <w:r w:rsidRPr="00E81E69">
        <w:rPr>
          <w:rFonts w:eastAsia="Times New Roman"/>
        </w:rPr>
        <w:t>to obtain parental permission before collecting personal information</w:t>
      </w:r>
      <w:r w:rsidR="009A11F9">
        <w:rPr>
          <w:rFonts w:eastAsia="Times New Roman"/>
        </w:rPr>
        <w:t>,</w:t>
      </w:r>
      <w:r w:rsidRPr="00E81E69">
        <w:rPr>
          <w:rFonts w:eastAsia="Times New Roman"/>
        </w:rPr>
        <w:t xml:space="preserve"> such as a child</w:t>
      </w:r>
      <w:r w:rsidR="009A11F9">
        <w:rPr>
          <w:rFonts w:eastAsia="Times New Roman"/>
        </w:rPr>
        <w:t>’</w:t>
      </w:r>
      <w:r w:rsidRPr="00E81E69">
        <w:rPr>
          <w:rFonts w:eastAsia="Times New Roman"/>
        </w:rPr>
        <w:t xml:space="preserve">s name or </w:t>
      </w:r>
      <w:r w:rsidR="00C37E55">
        <w:rPr>
          <w:rFonts w:eastAsia="Times New Roman"/>
        </w:rPr>
        <w:t>e-mail</w:t>
      </w:r>
      <w:r w:rsidRPr="00E81E69">
        <w:rPr>
          <w:rFonts w:eastAsia="Times New Roman"/>
        </w:rPr>
        <w:t xml:space="preserve"> address.</w:t>
      </w:r>
      <w:r>
        <w:rPr>
          <w:rFonts w:eastAsia="Times New Roman"/>
        </w:rPr>
        <w:t xml:space="preserve"> </w:t>
      </w:r>
      <w:r w:rsidRPr="00E81E69">
        <w:rPr>
          <w:rFonts w:eastAsia="Times New Roman"/>
        </w:rPr>
        <w:t>The new legislation would prohibit companies from using or providing to third parties personal information about children under 18</w:t>
      </w:r>
      <w:r w:rsidR="00C37E55">
        <w:rPr>
          <w:rFonts w:eastAsia="Times New Roman"/>
        </w:rPr>
        <w:t xml:space="preserve"> years old</w:t>
      </w:r>
      <w:r w:rsidRPr="00E81E69">
        <w:rPr>
          <w:rFonts w:eastAsia="Times New Roman"/>
        </w:rPr>
        <w:t>.</w:t>
      </w:r>
      <w:r>
        <w:rPr>
          <w:rFonts w:eastAsia="Times New Roman"/>
        </w:rPr>
        <w:t xml:space="preserve"> </w:t>
      </w:r>
      <w:r w:rsidRPr="00E81E69">
        <w:rPr>
          <w:rFonts w:eastAsia="Times New Roman"/>
        </w:rPr>
        <w:t xml:space="preserve">Since campuses may likely have students under 18 or provide services to minors who participate in summer camps and other activities, this bill is important to watch. </w:t>
      </w:r>
    </w:p>
    <w:p w:rsidR="00E81E69" w:rsidRPr="00E81E69" w:rsidRDefault="00E81E69"/>
    <w:p w:rsidR="00E81E69" w:rsidRPr="003751B6" w:rsidRDefault="00E81E69" w:rsidP="003751B6">
      <w:pPr>
        <w:rPr>
          <w:rStyle w:val="Strong"/>
        </w:rPr>
      </w:pPr>
      <w:proofErr w:type="spellStart"/>
      <w:r w:rsidRPr="003751B6">
        <w:rPr>
          <w:rStyle w:val="Strong"/>
        </w:rPr>
        <w:t>Geolocation</w:t>
      </w:r>
      <w:proofErr w:type="spellEnd"/>
      <w:r w:rsidRPr="003751B6">
        <w:rPr>
          <w:rStyle w:val="Strong"/>
        </w:rPr>
        <w:t xml:space="preserve"> and Mobile Devices</w:t>
      </w:r>
    </w:p>
    <w:p w:rsidR="00E81E69" w:rsidRPr="00E81E69" w:rsidRDefault="00E81E69" w:rsidP="003751B6">
      <w:r w:rsidRPr="00E81E69">
        <w:t>Recently, consumers learned that their smartphones were automatically sending companies, like</w:t>
      </w:r>
      <w:r>
        <w:t xml:space="preserve"> </w:t>
      </w:r>
      <w:r w:rsidRPr="00E81E69">
        <w:t>Apple and Google, information about the smartphone</w:t>
      </w:r>
      <w:r w:rsidR="009A11F9">
        <w:t>’</w:t>
      </w:r>
      <w:r w:rsidRPr="00E81E69">
        <w:t xml:space="preserve">s location—even when users were not using </w:t>
      </w:r>
      <w:proofErr w:type="spellStart"/>
      <w:r w:rsidRPr="00E81E69">
        <w:t>geolocation</w:t>
      </w:r>
      <w:proofErr w:type="spellEnd"/>
      <w:r w:rsidRPr="00E81E69">
        <w:t xml:space="preserve"> applications and, in Apple</w:t>
      </w:r>
      <w:r w:rsidR="009A11F9">
        <w:t>’</w:t>
      </w:r>
      <w:r w:rsidRPr="00E81E69">
        <w:t>s case, even though users had no way to stop this collection.</w:t>
      </w:r>
      <w:r>
        <w:t xml:space="preserve"> </w:t>
      </w:r>
      <w:r w:rsidRPr="00E81E69">
        <w:t>These events have raised serious concerns about location privacy on mobile devices.</w:t>
      </w:r>
      <w:r>
        <w:t xml:space="preserve"> </w:t>
      </w:r>
      <w:r w:rsidRPr="00E81E69">
        <w:rPr>
          <w:bCs/>
        </w:rPr>
        <w:t>Current federal laws allow many of the</w:t>
      </w:r>
      <w:r w:rsidRPr="00E81E69">
        <w:t xml:space="preserve"> </w:t>
      </w:r>
      <w:r w:rsidRPr="00E81E69">
        <w:rPr>
          <w:bCs/>
        </w:rPr>
        <w:t>companies that obtain location information from customers</w:t>
      </w:r>
      <w:r w:rsidR="009A11F9">
        <w:rPr>
          <w:bCs/>
        </w:rPr>
        <w:t>’</w:t>
      </w:r>
      <w:r w:rsidRPr="00E81E69">
        <w:rPr>
          <w:bCs/>
        </w:rPr>
        <w:t xml:space="preserve"> cellphones and smartphones to give out that information without their customers</w:t>
      </w:r>
      <w:r w:rsidR="009A11F9">
        <w:rPr>
          <w:bCs/>
        </w:rPr>
        <w:t>’</w:t>
      </w:r>
      <w:r w:rsidRPr="00E81E69">
        <w:rPr>
          <w:bCs/>
        </w:rPr>
        <w:t xml:space="preserve"> consent.</w:t>
      </w:r>
      <w:r>
        <w:rPr>
          <w:bCs/>
        </w:rPr>
        <w:t xml:space="preserve"> </w:t>
      </w:r>
      <w:r w:rsidRPr="00E81E69">
        <w:t>Sen. Leahy (D-VT) has introduced comprehensive</w:t>
      </w:r>
      <w:r w:rsidR="009A11F9">
        <w:t xml:space="preserve"> </w:t>
      </w:r>
      <w:r w:rsidR="00AD3128" w:rsidRPr="003751B6">
        <w:t>Electronic Communications Privacy Act</w:t>
      </w:r>
      <w:r w:rsidRPr="00E81E69">
        <w:t xml:space="preserve"> </w:t>
      </w:r>
      <w:r w:rsidR="009A11F9">
        <w:t>(</w:t>
      </w:r>
      <w:r w:rsidR="00996460" w:rsidRPr="00996460">
        <w:t>ECPA</w:t>
      </w:r>
      <w:r w:rsidR="009A11F9" w:rsidRPr="00525B3D">
        <w:rPr>
          <w:rStyle w:val="Hyperlink"/>
          <w:color w:val="auto"/>
          <w:u w:val="none"/>
        </w:rPr>
        <w:t>)</w:t>
      </w:r>
      <w:r w:rsidRPr="00E81E69">
        <w:t xml:space="preserve"> reform legislation </w:t>
      </w:r>
      <w:r w:rsidR="00AD3128">
        <w:t xml:space="preserve">(S. 1011) </w:t>
      </w:r>
      <w:r w:rsidRPr="00E81E69">
        <w:t>that will address the advancements in communication technologies, including smartphones and social networking sites, that have now outpaced the privacy protections included in the original law.</w:t>
      </w:r>
      <w:r>
        <w:t xml:space="preserve"> </w:t>
      </w:r>
      <w:r w:rsidRPr="00E81E69">
        <w:t>Bills introduced by Sen. Franken (D-MN) and Sen. Blumenthal (D-CT) (</w:t>
      </w:r>
      <w:r w:rsidR="00AD3128" w:rsidRPr="003751B6">
        <w:t>S. 1223</w:t>
      </w:r>
      <w:r w:rsidR="00AD3128">
        <w:t>)</w:t>
      </w:r>
      <w:r w:rsidRPr="00E81E69">
        <w:t>, Sen. Wyden (D-OR) (</w:t>
      </w:r>
      <w:r w:rsidR="00AD3128" w:rsidRPr="003751B6">
        <w:t>S. 1212</w:t>
      </w:r>
      <w:r w:rsidR="00AD3128">
        <w:t>)</w:t>
      </w:r>
      <w:r w:rsidRPr="00E81E69">
        <w:t xml:space="preserve">, and Rep. </w:t>
      </w:r>
      <w:proofErr w:type="spellStart"/>
      <w:r w:rsidRPr="00E81E69">
        <w:t>Chaffetz</w:t>
      </w:r>
      <w:proofErr w:type="spellEnd"/>
      <w:r w:rsidRPr="00E81E69">
        <w:t xml:space="preserve"> (R-UT) (</w:t>
      </w:r>
      <w:r w:rsidR="00AD3128" w:rsidRPr="003751B6">
        <w:t xml:space="preserve">H.R. 2168) </w:t>
      </w:r>
      <w:r w:rsidRPr="00E81E69">
        <w:rPr>
          <w:rStyle w:val="body-text-1-c-c2"/>
        </w:rPr>
        <w:t>aim to close loopholes in federal law to ensure that mobile device customers know what location information is being collected about them and allow them to decide if they want it</w:t>
      </w:r>
      <w:r>
        <w:rPr>
          <w:rStyle w:val="body-text-1-c-c2"/>
        </w:rPr>
        <w:t xml:space="preserve"> </w:t>
      </w:r>
      <w:r w:rsidRPr="00E81E69">
        <w:rPr>
          <w:rStyle w:val="body-text-1-c-c2"/>
        </w:rPr>
        <w:t>shared.</w:t>
      </w:r>
    </w:p>
    <w:p w:rsidR="00E81E69" w:rsidRPr="00E81E69" w:rsidRDefault="00E81E69" w:rsidP="003751B6"/>
    <w:p w:rsidR="00E81E69" w:rsidRDefault="00E81E69">
      <w:r w:rsidRPr="00E81E69">
        <w:t>Additionally, the current legal environment creates a confusing patchwork of regulation.</w:t>
      </w:r>
      <w:r>
        <w:t xml:space="preserve"> </w:t>
      </w:r>
      <w:r w:rsidRPr="00E81E69">
        <w:t xml:space="preserve">All the </w:t>
      </w:r>
      <w:proofErr w:type="spellStart"/>
      <w:r w:rsidRPr="00E81E69">
        <w:t>geolocation</w:t>
      </w:r>
      <w:proofErr w:type="spellEnd"/>
      <w:r w:rsidRPr="00E81E69">
        <w:t xml:space="preserve"> bills introduced create, to one extent or another, a legal framework designed to give government agencies, commercial entities, and private citizens clear guidelines for when and how </w:t>
      </w:r>
      <w:proofErr w:type="spellStart"/>
      <w:r w:rsidRPr="00E81E69">
        <w:t>geolocation</w:t>
      </w:r>
      <w:proofErr w:type="spellEnd"/>
      <w:r w:rsidRPr="00E81E69">
        <w:t xml:space="preserve"> information can be accessed and used.</w:t>
      </w:r>
      <w:r>
        <w:t xml:space="preserve"> </w:t>
      </w:r>
      <w:r w:rsidRPr="00E81E69">
        <w:t>Perhaps most significant for the operation of campus networks is the bill introduced by Rep. Smith (R-TX), Protecting Children from Internet Pornographers Act of 2011 (</w:t>
      </w:r>
      <w:r w:rsidR="00AD3128">
        <w:t>H.R. 1981</w:t>
      </w:r>
      <w:r w:rsidRPr="00E81E69">
        <w:t xml:space="preserve">). This bill mandates that Internet </w:t>
      </w:r>
      <w:r w:rsidR="00C37E55">
        <w:t>s</w:t>
      </w:r>
      <w:r w:rsidR="00C37E55" w:rsidRPr="00E81E69">
        <w:t xml:space="preserve">ervice </w:t>
      </w:r>
      <w:r w:rsidR="00C37E55">
        <w:t>p</w:t>
      </w:r>
      <w:r w:rsidR="00C37E55" w:rsidRPr="00E81E69">
        <w:t>roviders</w:t>
      </w:r>
      <w:r w:rsidR="006269BA">
        <w:t xml:space="preserve"> (ISPs)</w:t>
      </w:r>
      <w:r w:rsidR="00C37E55" w:rsidRPr="00E81E69">
        <w:t xml:space="preserve"> </w:t>
      </w:r>
      <w:r w:rsidRPr="00E81E69">
        <w:t>keep detailed logs, for up to 18 months, on all users to facilitate the prosecution of child pornography, including all IP addresses assigned, customer names, addresses, phone records, type and length of service, credit card numbers, and more. If passed, the constraints placed on campus networks would be staggering.</w:t>
      </w:r>
    </w:p>
    <w:p w:rsidR="00E81E69" w:rsidRPr="00E81E69" w:rsidRDefault="00E81E69"/>
    <w:p w:rsidR="00E81E69" w:rsidRPr="003751B6" w:rsidRDefault="00E81E69" w:rsidP="003751B6">
      <w:pPr>
        <w:rPr>
          <w:rStyle w:val="Strong"/>
        </w:rPr>
      </w:pPr>
      <w:r w:rsidRPr="003751B6">
        <w:rPr>
          <w:rStyle w:val="Strong"/>
        </w:rPr>
        <w:t>Data Security and Breach Notification</w:t>
      </w:r>
    </w:p>
    <w:p w:rsidR="00E81E69" w:rsidRDefault="00E81E69">
      <w:r w:rsidRPr="00E81E69">
        <w:rPr>
          <w:rStyle w:val="body-text-1-c-c1"/>
        </w:rPr>
        <w:t xml:space="preserve">There are a number of pending data breach bills, including </w:t>
      </w:r>
      <w:r w:rsidRPr="00E81E69">
        <w:t>Rep. Rush</w:t>
      </w:r>
      <w:r w:rsidR="009A11F9">
        <w:t>’</w:t>
      </w:r>
      <w:r w:rsidRPr="00E81E69">
        <w:t>s</w:t>
      </w:r>
      <w:r>
        <w:t xml:space="preserve"> </w:t>
      </w:r>
      <w:r w:rsidRPr="00E81E69">
        <w:t>(D-IL) Data Accountability and Trust Act (</w:t>
      </w:r>
      <w:r w:rsidR="00AD3128" w:rsidRPr="003751B6">
        <w:t>H.R.1707</w:t>
      </w:r>
      <w:r w:rsidR="00AD3128">
        <w:t>)</w:t>
      </w:r>
      <w:r w:rsidRPr="00E81E69">
        <w:t>, Rep. Stearns</w:t>
      </w:r>
      <w:r w:rsidR="009A11F9">
        <w:t>’</w:t>
      </w:r>
      <w:r w:rsidRPr="00E81E69">
        <w:t>s (R-FL) and Rep. Matheson</w:t>
      </w:r>
      <w:r w:rsidR="009A11F9">
        <w:t>’</w:t>
      </w:r>
      <w:r w:rsidRPr="00E81E69">
        <w:t>s (D-UT) Data Accountability and Trust Act of 2011 (</w:t>
      </w:r>
      <w:r w:rsidR="00AD3128" w:rsidRPr="003751B6">
        <w:t>H.R. 1841</w:t>
      </w:r>
      <w:r w:rsidRPr="00E81E69">
        <w:t>), Rep. Bono Mack</w:t>
      </w:r>
      <w:r w:rsidR="009A11F9">
        <w:t>’</w:t>
      </w:r>
      <w:r w:rsidRPr="00E81E69">
        <w:t>s (R-CA) Secure And Fortify Electronic (SAFE) Data Act (</w:t>
      </w:r>
      <w:r w:rsidR="00AD3128" w:rsidRPr="003751B6">
        <w:t xml:space="preserve">H.R. </w:t>
      </w:r>
      <w:r w:rsidR="00AD3128" w:rsidRPr="003751B6">
        <w:lastRenderedPageBreak/>
        <w:t>2577</w:t>
      </w:r>
      <w:r w:rsidR="00AD3128">
        <w:t>)</w:t>
      </w:r>
      <w:r w:rsidRPr="00E81E69">
        <w:t xml:space="preserve"> , and Sen. Pryor</w:t>
      </w:r>
      <w:r w:rsidR="009A11F9">
        <w:t>’</w:t>
      </w:r>
      <w:r w:rsidRPr="00E81E69">
        <w:t>s</w:t>
      </w:r>
      <w:r>
        <w:t xml:space="preserve"> </w:t>
      </w:r>
      <w:r w:rsidRPr="00E81E69">
        <w:t>(D-AR)</w:t>
      </w:r>
      <w:r>
        <w:t xml:space="preserve"> </w:t>
      </w:r>
      <w:r w:rsidRPr="00E81E69">
        <w:t>and Sen. Rockefeller</w:t>
      </w:r>
      <w:r w:rsidR="009A11F9">
        <w:t>’</w:t>
      </w:r>
      <w:r w:rsidRPr="00E81E69">
        <w:t>s (D-WV) Data Security and Breach Notification Act (</w:t>
      </w:r>
      <w:r w:rsidR="00AD3128" w:rsidRPr="003751B6">
        <w:t>S. 1207</w:t>
      </w:r>
      <w:r w:rsidR="00AD3128">
        <w:t>)</w:t>
      </w:r>
      <w:r w:rsidRPr="00E81E69">
        <w:t>.</w:t>
      </w:r>
      <w:r>
        <w:t xml:space="preserve"> </w:t>
      </w:r>
      <w:r w:rsidRPr="00E81E69">
        <w:t>Other pending legislation, including Sen. Feinstein</w:t>
      </w:r>
      <w:r w:rsidR="009A11F9">
        <w:t>’</w:t>
      </w:r>
      <w:r w:rsidRPr="00E81E69">
        <w:t>s (D-CA) Data Breach Notification Act of 2011 (</w:t>
      </w:r>
      <w:r w:rsidR="00AD3128" w:rsidRPr="003751B6">
        <w:t>S. 1408</w:t>
      </w:r>
      <w:r w:rsidRPr="00E81E69">
        <w:t>), Sen. Leahy</w:t>
      </w:r>
      <w:r w:rsidR="009A11F9">
        <w:t>’</w:t>
      </w:r>
      <w:r w:rsidRPr="00E81E69">
        <w:t>s (D-VT) Personal Data Privacy and Security Act (</w:t>
      </w:r>
      <w:r w:rsidR="00AD3128" w:rsidRPr="003751B6">
        <w:t>S. 1151</w:t>
      </w:r>
      <w:r w:rsidR="00AD3128">
        <w:t>)</w:t>
      </w:r>
      <w:r w:rsidRPr="00E81E69">
        <w:t xml:space="preserve">, </w:t>
      </w:r>
      <w:r w:rsidR="00C37E55">
        <w:t>and t</w:t>
      </w:r>
      <w:r w:rsidR="00C37E55" w:rsidRPr="00E81E69">
        <w:t xml:space="preserve">he </w:t>
      </w:r>
      <w:r w:rsidRPr="00E81E69">
        <w:t>White House</w:t>
      </w:r>
      <w:r w:rsidR="009A11F9">
        <w:t>’</w:t>
      </w:r>
      <w:r w:rsidRPr="00E81E69">
        <w:t xml:space="preserve">s </w:t>
      </w:r>
      <w:r w:rsidR="009D6293" w:rsidRPr="003751B6">
        <w:t>Cybersecurity Proposal</w:t>
      </w:r>
      <w:r w:rsidR="00AD3128">
        <w:rPr>
          <w:rStyle w:val="FootnoteReference"/>
          <w:color w:val="0000FF"/>
          <w:u w:val="single"/>
        </w:rPr>
        <w:footnoteReference w:id="5"/>
      </w:r>
      <w:r w:rsidRPr="00E81E69">
        <w:t xml:space="preserve"> also address data breaches.</w:t>
      </w:r>
      <w:r>
        <w:t xml:space="preserve"> </w:t>
      </w:r>
      <w:r w:rsidRPr="00E81E69">
        <w:t>Each bill or proposal differs slightly in its approach to protecting data from security breach and/or notification.</w:t>
      </w:r>
      <w:r>
        <w:t xml:space="preserve"> </w:t>
      </w:r>
    </w:p>
    <w:p w:rsidR="00E81E69" w:rsidRPr="00E81E69" w:rsidRDefault="00E81E69"/>
    <w:p w:rsidR="00E81E69" w:rsidRDefault="00E81E69">
      <w:r w:rsidRPr="00E81E69">
        <w:t>The bills proposed by Rep.</w:t>
      </w:r>
      <w:r>
        <w:t xml:space="preserve"> </w:t>
      </w:r>
      <w:r w:rsidRPr="00E81E69">
        <w:t>Bono Mack, Rep. Rush, and Sen. Pryor and Sen. Rockefeller would empower the FTC to promulgate regulations for handling of personal data.</w:t>
      </w:r>
      <w:r>
        <w:t xml:space="preserve"> </w:t>
      </w:r>
      <w:r w:rsidRPr="00E81E69">
        <w:t>These would include appointing information security managers</w:t>
      </w:r>
      <w:r w:rsidR="009B4165">
        <w:t>;</w:t>
      </w:r>
      <w:r w:rsidRPr="00E81E69">
        <w:t xml:space="preserve"> identifying and correcting potential data security vulnerabilities</w:t>
      </w:r>
      <w:r w:rsidR="00525B3D">
        <w:t>,</w:t>
      </w:r>
      <w:r w:rsidRPr="00E81E69">
        <w:t xml:space="preserve"> and taking steps to safely dispose of electronic personal data.</w:t>
      </w:r>
      <w:r>
        <w:t xml:space="preserve"> </w:t>
      </w:r>
      <w:r w:rsidRPr="00E81E69">
        <w:t>Rep. Bono Mack</w:t>
      </w:r>
      <w:r w:rsidR="009A11F9">
        <w:t>’</w:t>
      </w:r>
      <w:r w:rsidRPr="00E81E69">
        <w:t>s bill adds a requirement for data minimization so that an organization retains only data needed for a legitimate business purpose and otherwise disposes of personal information as soon as possible.</w:t>
      </w:r>
    </w:p>
    <w:p w:rsidR="009B4165" w:rsidRPr="00E81E69" w:rsidRDefault="009B4165"/>
    <w:p w:rsidR="00E81E69" w:rsidRDefault="00E81E69">
      <w:r w:rsidRPr="00E81E69">
        <w:t xml:space="preserve">It is generally agreed that </w:t>
      </w:r>
      <w:r w:rsidR="009B4165">
        <w:t xml:space="preserve">even </w:t>
      </w:r>
      <w:r w:rsidRPr="00E81E69">
        <w:t>the best security practices will not prevent all data breaches.</w:t>
      </w:r>
      <w:r>
        <w:t xml:space="preserve"> </w:t>
      </w:r>
      <w:r w:rsidRPr="00E81E69">
        <w:t>In the event of a breach, however, these bills generally require notification of all individuals affected.</w:t>
      </w:r>
      <w:r>
        <w:t xml:space="preserve"> </w:t>
      </w:r>
      <w:r w:rsidRPr="00E81E69">
        <w:t>The bills also exempt organizations from notification if they perform a risk assessment that determines there is no “reasonable” or “significant” risk of harm, such as identity fraud.</w:t>
      </w:r>
      <w:r>
        <w:t xml:space="preserve"> </w:t>
      </w:r>
      <w:r w:rsidRPr="00E81E69">
        <w:t>Sen. Leahy</w:t>
      </w:r>
      <w:r w:rsidR="009A11F9">
        <w:t>’</w:t>
      </w:r>
      <w:r w:rsidRPr="00E81E69">
        <w:t xml:space="preserve">s bill and </w:t>
      </w:r>
      <w:r w:rsidR="00C37E55">
        <w:t>t</w:t>
      </w:r>
      <w:r w:rsidR="00C37E55" w:rsidRPr="00E81E69">
        <w:t xml:space="preserve">he </w:t>
      </w:r>
      <w:r w:rsidRPr="00E81E69">
        <w:t>White House proposal include an additional requirement that if a business makes an affirmative determination of no risk it is still required to promptly inform the government of this result.</w:t>
      </w:r>
    </w:p>
    <w:p w:rsidR="00E81E69" w:rsidRPr="00E81E69" w:rsidRDefault="00E81E69"/>
    <w:p w:rsidR="00E81E69" w:rsidRDefault="00E81E69">
      <w:r w:rsidRPr="00E81E69">
        <w:t>Each bill differs slightly in its definition of “personal information.”</w:t>
      </w:r>
      <w:r>
        <w:t xml:space="preserve"> </w:t>
      </w:r>
      <w:r w:rsidRPr="00E81E69">
        <w:t>In general, covered personal information includes an individual</w:t>
      </w:r>
      <w:r w:rsidR="009A11F9">
        <w:t>’</w:t>
      </w:r>
      <w:r w:rsidRPr="00E81E69">
        <w:t>s first name or initial and last name, in combination with other forms of identifying information, such as address, social security number, driver</w:t>
      </w:r>
      <w:r w:rsidR="009A11F9">
        <w:t>’</w:t>
      </w:r>
      <w:r w:rsidRPr="00E81E69">
        <w:t>s license, or financial account information.</w:t>
      </w:r>
      <w:r>
        <w:t xml:space="preserve"> </w:t>
      </w:r>
      <w:r w:rsidRPr="00E81E69">
        <w:t>The Leahy bill would also cover unique biometric data, another category of personally identifiable information.</w:t>
      </w:r>
    </w:p>
    <w:p w:rsidR="00E81E69" w:rsidRPr="00E81E69" w:rsidRDefault="00E81E69"/>
    <w:p w:rsidR="00E81E69" w:rsidRDefault="00E81E69">
      <w:r w:rsidRPr="00E81E69">
        <w:t>All of the current bills would supersede state data breach notification laws, although the Rush and Rockefeller-Pryor bills would make exceptions for state victim assistance requirements.</w:t>
      </w:r>
      <w:r>
        <w:t xml:space="preserve"> </w:t>
      </w:r>
      <w:r w:rsidRPr="00E81E69">
        <w:t>Preempting state laws may be necessary to simplify an organization</w:t>
      </w:r>
      <w:r w:rsidR="009A11F9">
        <w:t>’</w:t>
      </w:r>
      <w:r w:rsidRPr="00E81E69">
        <w:t>s obligations, but the federal regime should not be weaker than current state laws.</w:t>
      </w:r>
    </w:p>
    <w:p w:rsidR="00E81E69" w:rsidRPr="00E81E69" w:rsidRDefault="00E81E69">
      <w:pPr>
        <w:rPr>
          <w:rStyle w:val="body-text-1-c-c1"/>
        </w:rPr>
      </w:pPr>
    </w:p>
    <w:p w:rsidR="00E81E69" w:rsidRPr="003751B6" w:rsidRDefault="00E81E69">
      <w:pPr>
        <w:rPr>
          <w:rStyle w:val="Strong"/>
        </w:rPr>
      </w:pPr>
      <w:r w:rsidRPr="003751B6">
        <w:rPr>
          <w:rStyle w:val="Strong"/>
        </w:rPr>
        <w:t>The Future and Implications for Higher Education</w:t>
      </w:r>
    </w:p>
    <w:p w:rsidR="00E81E69" w:rsidRDefault="00E81E69">
      <w:r w:rsidRPr="00E81E69">
        <w:rPr>
          <w:rStyle w:val="body-text-1-c-c1"/>
        </w:rPr>
        <w:t>When Congress returns from its August recess, it will have a number of these bills to consider.</w:t>
      </w:r>
      <w:r>
        <w:rPr>
          <w:rStyle w:val="body-text-1-c-c1"/>
        </w:rPr>
        <w:t xml:space="preserve"> </w:t>
      </w:r>
      <w:r w:rsidRPr="00E81E69">
        <w:rPr>
          <w:rStyle w:val="body-text-1-c-c1"/>
        </w:rPr>
        <w:t>Opinion differs as to whether any legislation will finally be enacted.</w:t>
      </w:r>
      <w:r>
        <w:rPr>
          <w:rStyle w:val="body-text-1-c-c1"/>
        </w:rPr>
        <w:t xml:space="preserve"> </w:t>
      </w:r>
      <w:r w:rsidRPr="00E81E69">
        <w:rPr>
          <w:rFonts w:eastAsia="Calibri"/>
        </w:rPr>
        <w:t>Because institutions of higher education handle personal data at various levels of its operation, it is important that we are attentive to passage of any legislation that require ISPs to retain more information about users and to ensure that the data that are already retained are adequately protected against disclosure.</w:t>
      </w:r>
      <w:r>
        <w:rPr>
          <w:rFonts w:eastAsia="Calibri"/>
        </w:rPr>
        <w:t xml:space="preserve"> </w:t>
      </w:r>
      <w:r w:rsidRPr="00E81E69">
        <w:rPr>
          <w:rFonts w:eastAsia="Calibri"/>
        </w:rPr>
        <w:t>EDUCAUSE will continue to monitor and report on the progress of these various pieces legislation.</w:t>
      </w:r>
      <w:r w:rsidRPr="00E81E69">
        <w:t xml:space="preserve"> </w:t>
      </w:r>
    </w:p>
    <w:p w:rsidR="00E81E69" w:rsidRPr="00E81E69" w:rsidRDefault="00E81E69"/>
    <w:p w:rsidR="00B2455C" w:rsidRDefault="00B2455C">
      <w:pPr>
        <w:rPr>
          <w:rStyle w:val="body-text-1-c-c1"/>
          <w:b/>
        </w:rPr>
      </w:pPr>
      <w:r>
        <w:rPr>
          <w:rStyle w:val="body-text-1-c-c1"/>
          <w:b/>
        </w:rPr>
        <w:br w:type="page"/>
      </w:r>
    </w:p>
    <w:p w:rsidR="00E81E69" w:rsidRPr="003751B6" w:rsidRDefault="00E81E69">
      <w:pPr>
        <w:rPr>
          <w:rStyle w:val="Strong"/>
        </w:rPr>
      </w:pPr>
      <w:r w:rsidRPr="003751B6">
        <w:rPr>
          <w:rStyle w:val="Strong"/>
        </w:rPr>
        <w:lastRenderedPageBreak/>
        <w:t>Sources</w:t>
      </w:r>
    </w:p>
    <w:p w:rsidR="00E81E69" w:rsidRPr="00C105FF" w:rsidRDefault="00E81E69" w:rsidP="003751B6">
      <w:pPr>
        <w:pStyle w:val="ListParagraph"/>
        <w:numPr>
          <w:ilvl w:val="0"/>
          <w:numId w:val="3"/>
        </w:numPr>
        <w:rPr>
          <w:rFonts w:eastAsia="Calibri"/>
          <w:color w:val="0000FF"/>
          <w:u w:val="single"/>
        </w:rPr>
      </w:pPr>
      <w:r w:rsidRPr="00C105FF">
        <w:rPr>
          <w:rStyle w:val="body-text-1-c-c1"/>
        </w:rPr>
        <w:t>Center for Democracy and Technology</w:t>
      </w:r>
      <w:r w:rsidR="006269BA" w:rsidRPr="00C105FF">
        <w:rPr>
          <w:rFonts w:eastAsia="Calibri"/>
        </w:rPr>
        <w:t xml:space="preserve"> – </w:t>
      </w:r>
      <w:hyperlink r:id="rId9" w:history="1">
        <w:r w:rsidRPr="00C105FF">
          <w:rPr>
            <w:rFonts w:eastAsia="Calibri"/>
            <w:color w:val="0000FF"/>
            <w:u w:val="single"/>
          </w:rPr>
          <w:t>http://www.cdt.org/</w:t>
        </w:r>
      </w:hyperlink>
    </w:p>
    <w:p w:rsidR="00E81E69" w:rsidRPr="00C105FF" w:rsidRDefault="00E81E69" w:rsidP="003751B6">
      <w:pPr>
        <w:pStyle w:val="ListParagraph"/>
        <w:numPr>
          <w:ilvl w:val="0"/>
          <w:numId w:val="3"/>
        </w:numPr>
        <w:rPr>
          <w:color w:val="0000FF"/>
          <w:u w:val="single"/>
        </w:rPr>
      </w:pPr>
      <w:r w:rsidRPr="00C105FF">
        <w:t>Electronic Frontier Foundation</w:t>
      </w:r>
      <w:r w:rsidR="006269BA" w:rsidRPr="00C105FF">
        <w:t xml:space="preserve"> – </w:t>
      </w:r>
      <w:hyperlink r:id="rId10" w:history="1">
        <w:r w:rsidRPr="00C105FF">
          <w:rPr>
            <w:color w:val="0000FF"/>
            <w:u w:val="single"/>
          </w:rPr>
          <w:t>https://www.eff.org/</w:t>
        </w:r>
      </w:hyperlink>
    </w:p>
    <w:p w:rsidR="00E81E69" w:rsidRPr="00C105FF" w:rsidRDefault="00E81E69" w:rsidP="003751B6">
      <w:pPr>
        <w:pStyle w:val="ListParagraph"/>
        <w:numPr>
          <w:ilvl w:val="0"/>
          <w:numId w:val="3"/>
        </w:numPr>
        <w:rPr>
          <w:color w:val="0000FF"/>
          <w:u w:val="single"/>
        </w:rPr>
      </w:pPr>
      <w:r w:rsidRPr="00C105FF">
        <w:t xml:space="preserve">Electronic Privacy Information Center – </w:t>
      </w:r>
      <w:hyperlink r:id="rId11" w:history="1">
        <w:r w:rsidRPr="00C105FF">
          <w:rPr>
            <w:rStyle w:val="Hyperlink"/>
            <w:rFonts w:eastAsia="Calibri"/>
          </w:rPr>
          <w:t>http://epic.org/</w:t>
        </w:r>
      </w:hyperlink>
    </w:p>
    <w:p w:rsidR="00C105FF" w:rsidRPr="00C105FF" w:rsidRDefault="00C105FF" w:rsidP="003751B6">
      <w:pPr>
        <w:pStyle w:val="ListParagraph"/>
        <w:numPr>
          <w:ilvl w:val="0"/>
          <w:numId w:val="3"/>
        </w:numPr>
      </w:pPr>
      <w:proofErr w:type="spellStart"/>
      <w:r w:rsidRPr="00C105FF">
        <w:t>Lisko</w:t>
      </w:r>
      <w:proofErr w:type="spellEnd"/>
      <w:r w:rsidRPr="00C105FF">
        <w:t xml:space="preserve">, Tim. “112th Privacy Legislation.” </w:t>
      </w:r>
      <w:r w:rsidRPr="003751B6">
        <w:rPr>
          <w:i/>
        </w:rPr>
        <w:t>Privacy Wonk</w:t>
      </w:r>
      <w:r w:rsidRPr="00C105FF">
        <w:t xml:space="preserve"> (8/2/11). Available at: </w:t>
      </w:r>
      <w:hyperlink r:id="rId12" w:history="1">
        <w:r w:rsidRPr="00C105FF">
          <w:rPr>
            <w:rStyle w:val="Hyperlink"/>
            <w:rFonts w:eastAsia="Calibri"/>
          </w:rPr>
          <w:t>http://www.privacywonk.net/2011/08/112th-privacy-legislation.php</w:t>
        </w:r>
      </w:hyperlink>
      <w:r w:rsidRPr="00C105FF">
        <w:t xml:space="preserve"> </w:t>
      </w:r>
    </w:p>
    <w:p w:rsidR="00E81E69" w:rsidRPr="00C105FF" w:rsidRDefault="00E81E69" w:rsidP="003751B6">
      <w:pPr>
        <w:pStyle w:val="ListParagraph"/>
        <w:numPr>
          <w:ilvl w:val="0"/>
          <w:numId w:val="3"/>
        </w:numPr>
        <w:rPr>
          <w:rStyle w:val="Hyperlink"/>
          <w:rFonts w:eastAsia="Calibri"/>
        </w:rPr>
      </w:pPr>
      <w:r w:rsidRPr="003751B6">
        <w:t>Open Congress</w:t>
      </w:r>
      <w:r w:rsidR="006269BA" w:rsidRPr="00C105FF">
        <w:t xml:space="preserve"> – </w:t>
      </w:r>
      <w:hyperlink r:id="rId13" w:history="1">
        <w:r w:rsidRPr="00C105FF">
          <w:rPr>
            <w:rStyle w:val="Hyperlink"/>
            <w:rFonts w:eastAsia="Calibri"/>
          </w:rPr>
          <w:t>http://www.opencongress.org/</w:t>
        </w:r>
      </w:hyperlink>
    </w:p>
    <w:p w:rsidR="00E81E69" w:rsidRPr="00C105FF" w:rsidRDefault="00E81E69" w:rsidP="003751B6">
      <w:pPr>
        <w:pStyle w:val="ListParagraph"/>
        <w:numPr>
          <w:ilvl w:val="0"/>
          <w:numId w:val="3"/>
        </w:numPr>
        <w:rPr>
          <w:rStyle w:val="Hyperlink"/>
          <w:rFonts w:eastAsia="Calibri"/>
        </w:rPr>
      </w:pPr>
      <w:r w:rsidRPr="00C105FF">
        <w:rPr>
          <w:rStyle w:val="Hyperlink"/>
          <w:rFonts w:eastAsia="Calibri"/>
          <w:color w:val="auto"/>
          <w:u w:val="none"/>
        </w:rPr>
        <w:t xml:space="preserve">Privacy Rights Clearinghouse – </w:t>
      </w:r>
      <w:hyperlink r:id="rId14" w:history="1">
        <w:r w:rsidRPr="00C105FF">
          <w:rPr>
            <w:rStyle w:val="Hyperlink"/>
            <w:rFonts w:eastAsia="Calibri"/>
          </w:rPr>
          <w:t>http://www.privacyrights.org/</w:t>
        </w:r>
      </w:hyperlink>
    </w:p>
    <w:p w:rsidR="00277EC0" w:rsidRPr="009544A5" w:rsidRDefault="00277EC0" w:rsidP="003751B6">
      <w:pPr>
        <w:pStyle w:val="ListParagraph"/>
        <w:numPr>
          <w:ilvl w:val="0"/>
          <w:numId w:val="3"/>
        </w:numPr>
        <w:rPr>
          <w:rStyle w:val="Hyperlink"/>
          <w:rFonts w:eastAsia="Calibri"/>
        </w:rPr>
      </w:pPr>
      <w:r>
        <w:rPr>
          <w:rStyle w:val="Hyperlink"/>
          <w:rFonts w:eastAsia="Calibri"/>
          <w:color w:val="auto"/>
          <w:u w:val="none"/>
        </w:rPr>
        <w:t xml:space="preserve">EDUCAUSE Policy Update blog </w:t>
      </w:r>
      <w:r w:rsidRPr="00FE4F0A">
        <w:t>–</w:t>
      </w:r>
      <w:r>
        <w:t xml:space="preserve"> </w:t>
      </w:r>
      <w:hyperlink r:id="rId15" w:history="1">
        <w:r w:rsidRPr="00277EC0">
          <w:rPr>
            <w:rStyle w:val="Hyperlink"/>
            <w:rFonts w:eastAsia="Calibri"/>
          </w:rPr>
          <w:t>http://www.educause.edu/Policy/PolicyUpdate</w:t>
        </w:r>
      </w:hyperlink>
    </w:p>
    <w:p w:rsidR="00E81E69" w:rsidRPr="00C105FF" w:rsidRDefault="00E81E69" w:rsidP="003751B6">
      <w:pPr>
        <w:pStyle w:val="ListParagraph"/>
        <w:numPr>
          <w:ilvl w:val="0"/>
          <w:numId w:val="3"/>
        </w:numPr>
        <w:rPr>
          <w:color w:val="0000FF"/>
          <w:u w:val="single"/>
        </w:rPr>
      </w:pPr>
      <w:r w:rsidRPr="00C105FF">
        <w:rPr>
          <w:rStyle w:val="Hyperlink"/>
          <w:rFonts w:eastAsia="Calibri"/>
          <w:color w:val="auto"/>
          <w:u w:val="none"/>
        </w:rPr>
        <w:t>U.S. Federal Trade Commission –</w:t>
      </w:r>
      <w:r w:rsidRPr="00C105FF">
        <w:rPr>
          <w:rStyle w:val="Hyperlink"/>
          <w:rFonts w:eastAsia="Calibri"/>
          <w:color w:val="auto"/>
        </w:rPr>
        <w:t xml:space="preserve"> </w:t>
      </w:r>
      <w:r w:rsidRPr="00C105FF">
        <w:rPr>
          <w:rStyle w:val="Hyperlink"/>
          <w:rFonts w:eastAsia="Calibri"/>
        </w:rPr>
        <w:t>http://www.ftc.gov</w:t>
      </w:r>
    </w:p>
    <w:p w:rsidR="00E81E69" w:rsidRPr="00C105FF" w:rsidRDefault="00E81E69" w:rsidP="003751B6">
      <w:pPr>
        <w:pStyle w:val="ListParagraph"/>
        <w:numPr>
          <w:ilvl w:val="0"/>
          <w:numId w:val="3"/>
        </w:numPr>
        <w:rPr>
          <w:rStyle w:val="Hyperlink"/>
          <w:rFonts w:eastAsia="Calibri"/>
        </w:rPr>
      </w:pPr>
      <w:r w:rsidRPr="003751B6">
        <w:t xml:space="preserve">U.S. Government Printing Office – </w:t>
      </w:r>
      <w:hyperlink r:id="rId16" w:history="1">
        <w:r w:rsidRPr="00C105FF">
          <w:rPr>
            <w:rStyle w:val="Hyperlink"/>
            <w:rFonts w:eastAsia="Calibri"/>
          </w:rPr>
          <w:t>http://www.gpo.gov/</w:t>
        </w:r>
      </w:hyperlink>
    </w:p>
    <w:p w:rsidR="00E81E69" w:rsidRPr="00C105FF" w:rsidRDefault="00E81E69" w:rsidP="003751B6">
      <w:pPr>
        <w:pStyle w:val="ListParagraph"/>
        <w:numPr>
          <w:ilvl w:val="0"/>
          <w:numId w:val="3"/>
        </w:numPr>
        <w:rPr>
          <w:rStyle w:val="Hyperlink"/>
          <w:rFonts w:eastAsia="Calibri"/>
        </w:rPr>
      </w:pPr>
      <w:r w:rsidRPr="00C105FF">
        <w:rPr>
          <w:rStyle w:val="Hyperlink"/>
          <w:rFonts w:eastAsia="Calibri"/>
          <w:color w:val="auto"/>
          <w:u w:val="none"/>
        </w:rPr>
        <w:t xml:space="preserve">The White House – </w:t>
      </w:r>
      <w:hyperlink r:id="rId17" w:history="1">
        <w:r w:rsidRPr="00C105FF">
          <w:rPr>
            <w:rStyle w:val="Hyperlink"/>
            <w:rFonts w:eastAsia="Calibri"/>
          </w:rPr>
          <w:t>http://www.whitehouse.gov/</w:t>
        </w:r>
      </w:hyperlink>
    </w:p>
    <w:p w:rsidR="00C105FF" w:rsidRPr="00C105FF" w:rsidRDefault="00C105FF" w:rsidP="003751B6">
      <w:pPr>
        <w:pStyle w:val="ListParagraph"/>
        <w:numPr>
          <w:ilvl w:val="0"/>
          <w:numId w:val="3"/>
        </w:numPr>
        <w:rPr>
          <w:rStyle w:val="Hyperlink"/>
          <w:rFonts w:eastAsia="Calibri"/>
        </w:rPr>
      </w:pPr>
      <w:r w:rsidRPr="00C105FF">
        <w:rPr>
          <w:rStyle w:val="Hyperlink"/>
          <w:rFonts w:eastAsia="Calibri"/>
          <w:color w:val="auto"/>
          <w:u w:val="none"/>
        </w:rPr>
        <w:t xml:space="preserve">Tucker, Jaime. </w:t>
      </w:r>
      <w:r w:rsidRPr="003751B6">
        <w:rPr>
          <w:rStyle w:val="Hyperlink"/>
          <w:rFonts w:eastAsia="Calibri"/>
          <w:i/>
          <w:color w:val="auto"/>
          <w:u w:val="none"/>
        </w:rPr>
        <w:t>Privacy Diagram</w:t>
      </w:r>
      <w:r w:rsidRPr="00C105FF">
        <w:rPr>
          <w:rStyle w:val="Hyperlink"/>
          <w:rFonts w:eastAsia="Calibri"/>
          <w:color w:val="auto"/>
          <w:u w:val="none"/>
        </w:rPr>
        <w:t xml:space="preserve">. Available at: </w:t>
      </w:r>
      <w:hyperlink r:id="rId18" w:history="1">
        <w:r w:rsidRPr="00C105FF">
          <w:rPr>
            <w:rStyle w:val="Hyperlink"/>
            <w:rFonts w:eastAsia="Calibri"/>
          </w:rPr>
          <w:t>http://twitpic.com/5ybqru</w:t>
        </w:r>
      </w:hyperlink>
      <w:r w:rsidRPr="00C105FF">
        <w:rPr>
          <w:rStyle w:val="Hyperlink"/>
          <w:rFonts w:eastAsia="Calibri"/>
          <w:color w:val="auto"/>
          <w:u w:val="none"/>
        </w:rPr>
        <w:t xml:space="preserve"> </w:t>
      </w:r>
    </w:p>
    <w:p w:rsidR="009D6293" w:rsidRPr="00E81E69" w:rsidRDefault="009D6293" w:rsidP="003751B6"/>
    <w:p w:rsidR="00BC0AEE" w:rsidRPr="003751B6" w:rsidRDefault="00BC0AEE" w:rsidP="003751B6">
      <w:pPr>
        <w:rPr>
          <w:i/>
        </w:rPr>
      </w:pPr>
      <w:r w:rsidRPr="003751B6">
        <w:rPr>
          <w:i/>
        </w:rPr>
        <w:t xml:space="preserve">This Policy Brief was prepared by Joan Cheverie, EDUCAUSE Policy Specialist, </w:t>
      </w:r>
      <w:proofErr w:type="gramStart"/>
      <w:r w:rsidRPr="003751B6">
        <w:rPr>
          <w:i/>
        </w:rPr>
        <w:t>August</w:t>
      </w:r>
      <w:proofErr w:type="gramEnd"/>
      <w:r w:rsidRPr="003751B6">
        <w:rPr>
          <w:i/>
        </w:rPr>
        <w:t xml:space="preserve"> 10, 2011.</w:t>
      </w:r>
    </w:p>
    <w:p w:rsidR="00E81E69" w:rsidRDefault="00E81E69" w:rsidP="003751B6">
      <w:pPr>
        <w:rPr>
          <w:rStyle w:val="body-text-1-c-c1"/>
          <w:b/>
        </w:rPr>
        <w:sectPr w:rsidR="00E81E69" w:rsidSect="003751B6">
          <w:headerReference w:type="default" r:id="rId19"/>
          <w:footerReference w:type="default" r:id="rId20"/>
          <w:headerReference w:type="first" r:id="rId21"/>
          <w:footerReference w:type="first" r:id="rId22"/>
          <w:pgSz w:w="12240" w:h="15840" w:code="1"/>
          <w:pgMar w:top="1987" w:right="1440" w:bottom="1987" w:left="1627" w:header="720" w:footer="1102" w:gutter="0"/>
          <w:cols w:space="720"/>
          <w:titlePg/>
        </w:sectPr>
      </w:pPr>
    </w:p>
    <w:p w:rsidR="00E81E69" w:rsidRPr="00E81E69" w:rsidRDefault="00E81E69" w:rsidP="004E49F8">
      <w:pPr>
        <w:jc w:val="center"/>
        <w:rPr>
          <w:rStyle w:val="body-text-1-c-c1"/>
          <w:b/>
        </w:rPr>
      </w:pPr>
      <w:r>
        <w:rPr>
          <w:rStyle w:val="body-text-1-c-c1"/>
          <w:b/>
        </w:rPr>
        <w:lastRenderedPageBreak/>
        <w:t xml:space="preserve">Data Privacy </w:t>
      </w:r>
      <w:r w:rsidRPr="00E81E69">
        <w:rPr>
          <w:rStyle w:val="body-text-1-c-c1"/>
          <w:b/>
        </w:rPr>
        <w:t>Bills Introduced</w:t>
      </w:r>
      <w:r w:rsidR="00B2455C">
        <w:rPr>
          <w:rStyle w:val="body-text-1-c-c1"/>
          <w:b/>
        </w:rPr>
        <w:t xml:space="preserve"> in the </w:t>
      </w:r>
      <w:bookmarkStart w:id="0" w:name="_GoBack"/>
      <w:r w:rsidR="00B2455C" w:rsidRPr="00B2455C">
        <w:rPr>
          <w:rStyle w:val="body-text-1-c-c1"/>
          <w:b/>
        </w:rPr>
        <w:t>112th Congress</w:t>
      </w:r>
    </w:p>
    <w:p w:rsidR="00E81E69" w:rsidRDefault="00E81E69" w:rsidP="004E49F8">
      <w:pPr>
        <w:jc w:val="center"/>
        <w:rPr>
          <w:rStyle w:val="body-text-1-c-c1"/>
        </w:rPr>
      </w:pPr>
      <w:r w:rsidRPr="00E81E69">
        <w:rPr>
          <w:rStyle w:val="body-text-1-c-c1"/>
        </w:rPr>
        <w:t>(</w:t>
      </w:r>
      <w:proofErr w:type="gramStart"/>
      <w:r w:rsidR="00B2455C">
        <w:rPr>
          <w:rStyle w:val="body-text-1-c-c1"/>
        </w:rPr>
        <w:t>a</w:t>
      </w:r>
      <w:r w:rsidRPr="00E81E69">
        <w:rPr>
          <w:rStyle w:val="body-text-1-c-c1"/>
        </w:rPr>
        <w:t>s</w:t>
      </w:r>
      <w:proofErr w:type="gramEnd"/>
      <w:r w:rsidRPr="00E81E69">
        <w:rPr>
          <w:rStyle w:val="body-text-1-c-c1"/>
        </w:rPr>
        <w:t xml:space="preserve"> of August 2011)</w:t>
      </w:r>
    </w:p>
    <w:bookmarkEnd w:id="0"/>
    <w:p w:rsidR="00E81E69" w:rsidRDefault="00E81E69" w:rsidP="003751B6">
      <w:pPr>
        <w:rPr>
          <w:rStyle w:val="body-text-1-c-c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4345"/>
        <w:gridCol w:w="1837"/>
        <w:gridCol w:w="2462"/>
      </w:tblGrid>
      <w:tr w:rsidR="00E81E69" w:rsidRPr="006E1E10" w:rsidTr="003751B6">
        <w:trPr>
          <w:cantSplit/>
          <w:tblHeader/>
        </w:trPr>
        <w:tc>
          <w:tcPr>
            <w:tcW w:w="3438" w:type="dxa"/>
            <w:shd w:val="clear" w:color="auto" w:fill="auto"/>
          </w:tcPr>
          <w:p w:rsidR="00E81E69" w:rsidRPr="006E1E10" w:rsidRDefault="00E81E69">
            <w:pPr>
              <w:rPr>
                <w:rStyle w:val="body-text-1-c-c1"/>
                <w:rFonts w:eastAsia="Calibri"/>
                <w:b/>
              </w:rPr>
            </w:pPr>
            <w:r w:rsidRPr="006E1E10">
              <w:rPr>
                <w:rStyle w:val="body-text-1-c-c1"/>
                <w:rFonts w:eastAsia="Calibri"/>
                <w:b/>
              </w:rPr>
              <w:t>Bill</w:t>
            </w:r>
          </w:p>
        </w:tc>
        <w:tc>
          <w:tcPr>
            <w:tcW w:w="4345" w:type="dxa"/>
            <w:shd w:val="clear" w:color="auto" w:fill="auto"/>
          </w:tcPr>
          <w:p w:rsidR="00E81E69" w:rsidRPr="006E1E10" w:rsidRDefault="00E81E69">
            <w:pPr>
              <w:rPr>
                <w:rStyle w:val="body-text-1-c-c1"/>
                <w:rFonts w:eastAsia="Calibri"/>
                <w:b/>
              </w:rPr>
            </w:pPr>
            <w:r w:rsidRPr="006E1E10">
              <w:rPr>
                <w:rStyle w:val="body-text-1-c-c1"/>
                <w:rFonts w:eastAsia="Calibri"/>
                <w:b/>
              </w:rPr>
              <w:t>Title</w:t>
            </w:r>
          </w:p>
        </w:tc>
        <w:tc>
          <w:tcPr>
            <w:tcW w:w="1837" w:type="dxa"/>
            <w:shd w:val="clear" w:color="auto" w:fill="auto"/>
          </w:tcPr>
          <w:p w:rsidR="00E81E69" w:rsidRPr="006E1E10" w:rsidRDefault="00E81E69">
            <w:pPr>
              <w:rPr>
                <w:rStyle w:val="body-text-1-c-c1"/>
                <w:rFonts w:eastAsia="Calibri"/>
                <w:b/>
              </w:rPr>
            </w:pPr>
            <w:r w:rsidRPr="006E1E10">
              <w:rPr>
                <w:rStyle w:val="body-text-1-c-c1"/>
                <w:rFonts w:eastAsia="Calibri"/>
                <w:b/>
              </w:rPr>
              <w:t>S</w:t>
            </w:r>
            <w:r w:rsidR="00B23064">
              <w:rPr>
                <w:rStyle w:val="body-text-1-c-c1"/>
                <w:rFonts w:eastAsia="Calibri"/>
                <w:b/>
              </w:rPr>
              <w:t xml:space="preserve">ponsor </w:t>
            </w:r>
          </w:p>
        </w:tc>
        <w:tc>
          <w:tcPr>
            <w:tcW w:w="2462" w:type="dxa"/>
            <w:shd w:val="clear" w:color="auto" w:fill="auto"/>
          </w:tcPr>
          <w:p w:rsidR="00E81E69" w:rsidRPr="006E1E10" w:rsidRDefault="00E81E69">
            <w:pPr>
              <w:rPr>
                <w:rStyle w:val="body-text-1-c-c1"/>
                <w:rFonts w:eastAsia="Calibri"/>
                <w:b/>
              </w:rPr>
            </w:pPr>
            <w:r w:rsidRPr="006E1E10">
              <w:rPr>
                <w:rStyle w:val="body-text-1-c-c1"/>
                <w:rFonts w:eastAsia="Calibri"/>
                <w:b/>
              </w:rPr>
              <w:t>Status</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611</w:t>
            </w:r>
            <w:r w:rsidR="007E0DA3" w:rsidRPr="003751B6">
              <w:rPr>
                <w:rStyle w:val="body-text-1-c-c1"/>
                <w:rFonts w:eastAsia="Calibri"/>
                <w:sz w:val="20"/>
                <w:szCs w:val="20"/>
              </w:rPr>
              <w:br/>
            </w:r>
            <w:hyperlink r:id="rId23" w:history="1">
              <w:r w:rsidR="007E0DA3" w:rsidRPr="003751B6">
                <w:rPr>
                  <w:rStyle w:val="Hyperlink"/>
                  <w:sz w:val="20"/>
                  <w:szCs w:val="20"/>
                </w:rPr>
                <w:t>http://www.gpo.gov/fdsys/pkg/BILLS-112hr611ih/pdf/BILLS-112hr611ih.pdf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Best Practices Act</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Rep. Rush (D-IL)</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House Subcommittee on Commerce, Manufacturing, and Trade – (2/18/11)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1528</w:t>
            </w:r>
            <w:r w:rsidR="00B81657">
              <w:rPr>
                <w:rStyle w:val="body-text-1-c-c1"/>
                <w:rFonts w:eastAsia="Calibri"/>
                <w:sz w:val="20"/>
                <w:szCs w:val="20"/>
              </w:rPr>
              <w:br/>
            </w:r>
            <w:hyperlink r:id="rId24" w:history="1">
              <w:r w:rsidR="00B81657" w:rsidRPr="00B81657">
                <w:rPr>
                  <w:rStyle w:val="Hyperlink"/>
                  <w:rFonts w:eastAsia="Calibri"/>
                  <w:sz w:val="20"/>
                  <w:szCs w:val="20"/>
                </w:rPr>
                <w:t>http://frwebgate.access.gpo.gov/cgi-bin/getdoc.cgi?dbname=112_cong_bills&amp;docid=f:h1528ih.txt.pdf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Consumer Privacy Protection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Rep. Stearns (R-FL)</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House Subcommittee on Commerce, Manufacturing, and Trade – (4/25/11)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653</w:t>
            </w:r>
            <w:r w:rsidR="00B81657">
              <w:rPr>
                <w:rStyle w:val="body-text-1-c-c1"/>
                <w:rFonts w:eastAsia="Calibri"/>
                <w:sz w:val="20"/>
                <w:szCs w:val="20"/>
              </w:rPr>
              <w:br/>
            </w:r>
            <w:hyperlink r:id="rId25" w:history="1">
              <w:r w:rsidR="00B81657" w:rsidRPr="00B81657">
                <w:rPr>
                  <w:rStyle w:val="Hyperlink"/>
                  <w:rFonts w:eastAsia="Calibri"/>
                  <w:sz w:val="20"/>
                  <w:szCs w:val="20"/>
                </w:rPr>
                <w:t>http://frwebgate.access.gpo.gov/cgi-bin/getdoc.cgi?dbname=112_cong_bills&amp;docid=f:h653ih.txt.pdf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Financial Information Privacy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 xml:space="preserve">Rep. </w:t>
            </w:r>
            <w:proofErr w:type="spellStart"/>
            <w:r w:rsidRPr="003751B6">
              <w:rPr>
                <w:rStyle w:val="body-text-1-c-c1"/>
                <w:rFonts w:eastAsia="Calibri"/>
                <w:sz w:val="20"/>
                <w:szCs w:val="20"/>
              </w:rPr>
              <w:t>Speier</w:t>
            </w:r>
            <w:proofErr w:type="spellEnd"/>
            <w:r w:rsidRPr="003751B6">
              <w:rPr>
                <w:rStyle w:val="body-text-1-c-c1"/>
                <w:rFonts w:eastAsia="Calibri"/>
                <w:sz w:val="20"/>
                <w:szCs w:val="20"/>
              </w:rPr>
              <w:t xml:space="preserve"> (D-CA)</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the House Subcommittee on Financial Institutions and Consumer Credit – (3/23/11)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654</w:t>
            </w:r>
            <w:r w:rsidR="00B81657">
              <w:rPr>
                <w:rStyle w:val="body-text-1-c-c1"/>
                <w:rFonts w:eastAsia="Calibri"/>
                <w:sz w:val="20"/>
                <w:szCs w:val="20"/>
              </w:rPr>
              <w:br/>
            </w:r>
            <w:hyperlink r:id="rId26" w:history="1">
              <w:r w:rsidR="00B81657" w:rsidRPr="00B81657">
                <w:rPr>
                  <w:rStyle w:val="Hyperlink"/>
                  <w:rFonts w:eastAsia="Calibri"/>
                  <w:sz w:val="20"/>
                  <w:szCs w:val="20"/>
                </w:rPr>
                <w:t>http://frwebgate.access.gpo.gov/cgi-bin/getdoc.cgi?dbname=112_cong_bills&amp;docid=f:h654ih.txt.pdf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Do Not Track Me Online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 xml:space="preserve">Rep. </w:t>
            </w:r>
            <w:proofErr w:type="spellStart"/>
            <w:r w:rsidRPr="003751B6">
              <w:rPr>
                <w:rStyle w:val="body-text-1-c-c1"/>
                <w:rFonts w:eastAsia="Calibri"/>
                <w:sz w:val="20"/>
                <w:szCs w:val="20"/>
              </w:rPr>
              <w:t>Speier</w:t>
            </w:r>
            <w:proofErr w:type="spellEnd"/>
            <w:r w:rsidRPr="003751B6">
              <w:rPr>
                <w:rStyle w:val="body-text-1-c-c1"/>
                <w:rFonts w:eastAsia="Calibri"/>
                <w:sz w:val="20"/>
                <w:szCs w:val="20"/>
              </w:rPr>
              <w:t xml:space="preserve"> (D-CA)</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the House Subcommittee on Commerce, Manufacturing, and Trade - (2/18/11)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 799</w:t>
            </w:r>
            <w:r w:rsidR="00B81657">
              <w:rPr>
                <w:rStyle w:val="body-text-1-c-c1"/>
                <w:rFonts w:eastAsia="Calibri"/>
                <w:sz w:val="20"/>
                <w:szCs w:val="20"/>
              </w:rPr>
              <w:br/>
            </w:r>
            <w:hyperlink r:id="rId27" w:history="1">
              <w:r w:rsidR="00B81657" w:rsidRPr="00B81657">
                <w:rPr>
                  <w:rStyle w:val="Hyperlink"/>
                  <w:rFonts w:eastAsia="Calibri"/>
                  <w:sz w:val="20"/>
                  <w:szCs w:val="20"/>
                </w:rPr>
                <w:t>http://www.gpo.gov/fdsys/pkg/BILLS-112s799is/pdf/BILLS-112s799is.pdf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Commercial Privacy Bill of Rights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Sen. Kerry (D-MA); Sen. McCain (R-AZ)</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Commerce, Science, and Transportation – (4/12/11)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 913</w:t>
            </w:r>
            <w:r w:rsidR="00B81657">
              <w:rPr>
                <w:rStyle w:val="body-text-1-c-c1"/>
                <w:rFonts w:eastAsia="Calibri"/>
                <w:sz w:val="20"/>
                <w:szCs w:val="20"/>
              </w:rPr>
              <w:br/>
            </w:r>
            <w:hyperlink r:id="rId28" w:history="1">
              <w:r w:rsidR="00B81657" w:rsidRPr="00B81657">
                <w:rPr>
                  <w:rStyle w:val="Hyperlink"/>
                  <w:rFonts w:eastAsia="Calibri"/>
                  <w:sz w:val="20"/>
                  <w:szCs w:val="20"/>
                </w:rPr>
                <w:t>http://www.gpo.gov/fdsys/pkg/BILLS-112s913is/pdf/BILLS-112s913is.pdf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Do Not Track Online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Sen. Rockefeller (D-WV)</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Commerce, Science, and Transportation - (5/9/11)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1895</w:t>
            </w:r>
            <w:r w:rsidR="00B81657">
              <w:rPr>
                <w:rStyle w:val="body-text-1-c-c1"/>
                <w:rFonts w:eastAsia="Calibri"/>
                <w:sz w:val="20"/>
                <w:szCs w:val="20"/>
              </w:rPr>
              <w:br/>
            </w:r>
            <w:hyperlink r:id="rId29" w:history="1">
              <w:r w:rsidR="00B81657" w:rsidRPr="00B81657">
                <w:rPr>
                  <w:rStyle w:val="Hyperlink"/>
                  <w:rFonts w:eastAsia="Calibri"/>
                  <w:sz w:val="20"/>
                  <w:szCs w:val="20"/>
                </w:rPr>
                <w:t>http://www.gpo.gov/fdsys/pkg/BILLS-112hr1895ih/pdf/BILLS-112hr1895ih.pdf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Do Not Track Kids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Rep. Markey (D-MA); Rep. Barton (R-TX)</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House Subcommittee on Commerce, Manufacturing, and Trade - (5/23/11)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 1011</w:t>
            </w:r>
            <w:r w:rsidR="00AD3128">
              <w:rPr>
                <w:rStyle w:val="body-text-1-c-c1"/>
                <w:rFonts w:eastAsia="Calibri"/>
                <w:sz w:val="20"/>
                <w:szCs w:val="20"/>
              </w:rPr>
              <w:br/>
            </w:r>
            <w:hyperlink r:id="rId30" w:history="1">
              <w:r w:rsidR="00AD3128" w:rsidRPr="00AD3128">
                <w:rPr>
                  <w:rStyle w:val="Hyperlink"/>
                  <w:rFonts w:eastAsia="Calibri"/>
                  <w:sz w:val="20"/>
                  <w:szCs w:val="20"/>
                </w:rPr>
                <w:t>http://frwebgate.access.gpo.gov/cgi-bin/getdoc.cgi?dbname=112_cong_bills&amp;docid=f:s1011is.txt.pdf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Electronic Communications Privacy Act Amendments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Sen. Leahy (D-VT)</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the Judiciary - (5/17/11)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lastRenderedPageBreak/>
              <w:t>S. 1223</w:t>
            </w:r>
            <w:r w:rsidR="00AD3128">
              <w:rPr>
                <w:rStyle w:val="body-text-1-c-c1"/>
                <w:rFonts w:eastAsia="Calibri"/>
                <w:sz w:val="20"/>
                <w:szCs w:val="20"/>
              </w:rPr>
              <w:br/>
            </w:r>
            <w:hyperlink r:id="rId31" w:history="1">
              <w:r w:rsidR="00AD3128" w:rsidRPr="00AD3128">
                <w:rPr>
                  <w:rStyle w:val="Hyperlink"/>
                  <w:rFonts w:eastAsia="Calibri"/>
                  <w:sz w:val="20"/>
                  <w:szCs w:val="20"/>
                </w:rPr>
                <w:t>http://www.gpo.gov/fdsys/pkg/BILLS-112s1223is/pdf/BILLS-112s1223is.pdf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Location Privacy Protection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Sen. Franken (D-MN); Sen. Blumenthal (D-CT)</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the Judiciary – (6/16/11)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 1212</w:t>
            </w:r>
            <w:r w:rsidR="00AD3128">
              <w:rPr>
                <w:rStyle w:val="body-text-1-c-c1"/>
                <w:rFonts w:eastAsia="Calibri"/>
                <w:sz w:val="20"/>
                <w:szCs w:val="20"/>
              </w:rPr>
              <w:br/>
            </w:r>
            <w:hyperlink r:id="rId32" w:history="1">
              <w:r w:rsidR="00AD3128" w:rsidRPr="00AD3128">
                <w:rPr>
                  <w:rStyle w:val="Hyperlink"/>
                  <w:rFonts w:eastAsia="Calibri"/>
                  <w:sz w:val="20"/>
                  <w:szCs w:val="20"/>
                </w:rPr>
                <w:t>http://www.gpo.gov/fdsys/pkg/BILLS-112s1212is/pdf/BILLS-112s1212is.pdf</w:t>
              </w:r>
            </w:hyperlink>
          </w:p>
        </w:tc>
        <w:tc>
          <w:tcPr>
            <w:tcW w:w="4345" w:type="dxa"/>
            <w:shd w:val="clear" w:color="auto" w:fill="auto"/>
          </w:tcPr>
          <w:p w:rsidR="00E81E69" w:rsidRPr="003751B6" w:rsidRDefault="00E81E69">
            <w:pPr>
              <w:rPr>
                <w:rStyle w:val="body-text-1-c-c1"/>
                <w:rFonts w:eastAsia="Calibri"/>
                <w:sz w:val="20"/>
                <w:szCs w:val="20"/>
              </w:rPr>
            </w:pPr>
            <w:proofErr w:type="spellStart"/>
            <w:r w:rsidRPr="003751B6">
              <w:rPr>
                <w:rStyle w:val="body-text-1-c-c1"/>
                <w:rFonts w:eastAsia="Calibri"/>
                <w:sz w:val="20"/>
                <w:szCs w:val="20"/>
              </w:rPr>
              <w:t>Geolocation</w:t>
            </w:r>
            <w:proofErr w:type="spellEnd"/>
            <w:r w:rsidRPr="003751B6">
              <w:rPr>
                <w:rStyle w:val="body-text-1-c-c1"/>
                <w:rFonts w:eastAsia="Calibri"/>
                <w:sz w:val="20"/>
                <w:szCs w:val="20"/>
              </w:rPr>
              <w:t xml:space="preserve"> Privacy and Surveillance Act (GPS) Act</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 xml:space="preserve">Sen. Wyden (D-OR); </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the Judiciary – (6/15/11)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2168</w:t>
            </w:r>
            <w:r w:rsidR="00AD3128">
              <w:rPr>
                <w:rStyle w:val="body-text-1-c-c1"/>
                <w:rFonts w:eastAsia="Calibri"/>
                <w:sz w:val="20"/>
                <w:szCs w:val="20"/>
              </w:rPr>
              <w:br/>
            </w:r>
            <w:hyperlink r:id="rId33" w:history="1">
              <w:r w:rsidR="00AD3128" w:rsidRPr="00AD3128">
                <w:rPr>
                  <w:rStyle w:val="Hyperlink"/>
                  <w:rFonts w:eastAsia="Calibri"/>
                  <w:sz w:val="20"/>
                  <w:szCs w:val="20"/>
                </w:rPr>
                <w:t>http://www.gpo.gov/fdsys/pkg/BILLS-112hr2168ih/pdf/BILLS-112hr2168ih.pdf</w:t>
              </w:r>
            </w:hyperlink>
          </w:p>
        </w:tc>
        <w:tc>
          <w:tcPr>
            <w:tcW w:w="4345" w:type="dxa"/>
            <w:shd w:val="clear" w:color="auto" w:fill="auto"/>
          </w:tcPr>
          <w:p w:rsidR="00E81E69" w:rsidRPr="003751B6" w:rsidRDefault="00E81E69">
            <w:pPr>
              <w:rPr>
                <w:rStyle w:val="body-text-1-c-c1"/>
                <w:rFonts w:eastAsia="Calibri"/>
                <w:sz w:val="20"/>
                <w:szCs w:val="20"/>
              </w:rPr>
            </w:pPr>
            <w:proofErr w:type="spellStart"/>
            <w:r w:rsidRPr="003751B6">
              <w:rPr>
                <w:rStyle w:val="body-text-1-c-c1"/>
                <w:rFonts w:eastAsia="Calibri"/>
                <w:sz w:val="20"/>
                <w:szCs w:val="20"/>
              </w:rPr>
              <w:t>Geolocation</w:t>
            </w:r>
            <w:proofErr w:type="spellEnd"/>
            <w:r w:rsidRPr="003751B6">
              <w:rPr>
                <w:rStyle w:val="body-text-1-c-c1"/>
                <w:rFonts w:eastAsia="Calibri"/>
                <w:sz w:val="20"/>
                <w:szCs w:val="20"/>
              </w:rPr>
              <w:t xml:space="preserve"> Privacy and Surveillance Act</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 xml:space="preserve">Rep. </w:t>
            </w:r>
            <w:proofErr w:type="spellStart"/>
            <w:r w:rsidRPr="003751B6">
              <w:rPr>
                <w:rStyle w:val="body-text-1-c-c1"/>
                <w:rFonts w:eastAsia="Calibri"/>
                <w:sz w:val="20"/>
                <w:szCs w:val="20"/>
              </w:rPr>
              <w:t>Chaffetz</w:t>
            </w:r>
            <w:proofErr w:type="spellEnd"/>
            <w:r w:rsidRPr="003751B6">
              <w:rPr>
                <w:rStyle w:val="body-text-1-c-c1"/>
                <w:rFonts w:eastAsia="Calibri"/>
                <w:sz w:val="20"/>
                <w:szCs w:val="20"/>
              </w:rPr>
              <w:t xml:space="preserve"> (R-UT)</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House Subcommittee on Crime, Terrorism, and Homeland Security – (7/11/11)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1981</w:t>
            </w:r>
            <w:r w:rsidR="00AD3128">
              <w:rPr>
                <w:rStyle w:val="body-text-1-c-c1"/>
                <w:rFonts w:eastAsia="Calibri"/>
                <w:sz w:val="20"/>
                <w:szCs w:val="20"/>
              </w:rPr>
              <w:br/>
            </w:r>
            <w:hyperlink r:id="rId34" w:history="1">
              <w:r w:rsidR="00AD3128" w:rsidRPr="00AD3128">
                <w:rPr>
                  <w:rStyle w:val="Hyperlink"/>
                  <w:rFonts w:eastAsia="Calibri"/>
                  <w:sz w:val="20"/>
                  <w:szCs w:val="20"/>
                </w:rPr>
                <w:t>http://hdl.loc.gov/loc.uscongress/legislation.112hr1981</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Protecting Children from Internet Pornographers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Rep. Smith (R-TX)</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House Subcommittee on Crime, Terrorism, and Homeland Security – (5/25/11); Hearings held – (7/12/11); House Judiciary Committee conducted markup and held a final roll call vote and approved the bill (19-10) – (7/28/11); bill moves to the full House for vote</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1707</w:t>
            </w:r>
            <w:r w:rsidR="00AD3128">
              <w:rPr>
                <w:rStyle w:val="body-text-1-c-c1"/>
                <w:rFonts w:eastAsia="Calibri"/>
                <w:sz w:val="20"/>
                <w:szCs w:val="20"/>
              </w:rPr>
              <w:br/>
            </w:r>
            <w:hyperlink r:id="rId35" w:history="1">
              <w:r w:rsidR="00AD3128" w:rsidRPr="00AD3128">
                <w:rPr>
                  <w:rStyle w:val="Hyperlink"/>
                  <w:rFonts w:eastAsia="Calibri"/>
                  <w:sz w:val="20"/>
                  <w:szCs w:val="20"/>
                </w:rPr>
                <w:t>http://www.gpo.gov/fdsys/pkg/BILLS-112hr1707ih/pdf/BILLS-112hr1707ih.pdf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Data Accountability and Trust Act</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Rep. Rush (D-IL)</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House Subcommittee on Commerce, Manufacturing, and Trade – (5/6/11)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1841</w:t>
            </w:r>
            <w:r w:rsidR="00AD3128">
              <w:rPr>
                <w:rStyle w:val="body-text-1-c-c1"/>
                <w:rFonts w:eastAsia="Calibri"/>
                <w:sz w:val="20"/>
                <w:szCs w:val="20"/>
              </w:rPr>
              <w:br/>
            </w:r>
            <w:hyperlink r:id="rId36" w:history="1">
              <w:r w:rsidR="00AD3128" w:rsidRPr="00AD3128">
                <w:rPr>
                  <w:rStyle w:val="Hyperlink"/>
                  <w:rFonts w:eastAsia="Calibri"/>
                  <w:sz w:val="20"/>
                  <w:szCs w:val="20"/>
                </w:rPr>
                <w:t>http://frwebgate.access.gpo.gov/cgi-bin/getdoc.cgi?dbname=112_cong_bills&amp;docid=f:h1841ih.txt.pdf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Data Accountability and Trust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Rep. Stearns (R-FL);</w:t>
            </w:r>
          </w:p>
          <w:p w:rsidR="00E81E69" w:rsidRPr="003751B6" w:rsidRDefault="00E81E69">
            <w:pPr>
              <w:rPr>
                <w:rStyle w:val="body-text-1-c-c1"/>
                <w:rFonts w:eastAsia="Calibri"/>
                <w:sz w:val="20"/>
                <w:szCs w:val="20"/>
              </w:rPr>
            </w:pPr>
            <w:r w:rsidRPr="003751B6">
              <w:rPr>
                <w:rStyle w:val="body-text-1-c-c1"/>
                <w:rFonts w:eastAsia="Calibri"/>
                <w:sz w:val="20"/>
                <w:szCs w:val="20"/>
              </w:rPr>
              <w:t>Rep. Matheson (D-UT)</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House Subcommittee on Commerce, Manufacturing, and Trade – (5/13/11)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H.R. 2577</w:t>
            </w:r>
            <w:r w:rsidR="00AD3128">
              <w:rPr>
                <w:rStyle w:val="body-text-1-c-c1"/>
                <w:rFonts w:eastAsia="Calibri"/>
                <w:sz w:val="20"/>
                <w:szCs w:val="20"/>
              </w:rPr>
              <w:br/>
            </w:r>
            <w:hyperlink r:id="rId37" w:history="1">
              <w:r w:rsidR="00AD3128" w:rsidRPr="00AD3128">
                <w:rPr>
                  <w:rStyle w:val="Hyperlink"/>
                  <w:rFonts w:eastAsia="Calibri"/>
                  <w:sz w:val="20"/>
                  <w:szCs w:val="20"/>
                </w:rPr>
                <w:t>http://www.gpo.gov/fdsys/pkg/BILLS-112hr2577ih/pdf/BILLS-112hr2577ih.pdf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Secure and Fortify Electronic (SAFE) Data Act</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Rep. Bono Mack (R-CA)</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the House Committee on Energy and Commerce -(7/18/11)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lastRenderedPageBreak/>
              <w:t>S. 1207</w:t>
            </w:r>
            <w:r w:rsidR="00AD3128">
              <w:rPr>
                <w:rStyle w:val="body-text-1-c-c1"/>
                <w:rFonts w:eastAsia="Calibri"/>
                <w:sz w:val="20"/>
                <w:szCs w:val="20"/>
              </w:rPr>
              <w:br/>
            </w:r>
            <w:hyperlink r:id="rId38" w:history="1">
              <w:r w:rsidR="00AD3128" w:rsidRPr="00AD3128">
                <w:rPr>
                  <w:rStyle w:val="Hyperlink"/>
                  <w:rFonts w:eastAsia="Calibri"/>
                  <w:sz w:val="20"/>
                  <w:szCs w:val="20"/>
                </w:rPr>
                <w:t>http://www.gpo.gov/fdsys/pkg/BILLS-112s1207is/pdf/BILLS-112s1207is.pdf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Data Security and Breach Notification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Sen. Pryor (D-AR); Sen. Rockefeller (D-WV)</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Commerce, Science, and Transportation – (6/15/11)</w:t>
            </w:r>
          </w:p>
        </w:tc>
      </w:tr>
      <w:tr w:rsidR="00E81E69" w:rsidRPr="007E0DA3" w:rsidTr="003751B6">
        <w:trPr>
          <w:cantSplit/>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 1408</w:t>
            </w:r>
            <w:r w:rsidR="00AD3128">
              <w:rPr>
                <w:rStyle w:val="body-text-1-c-c1"/>
                <w:rFonts w:eastAsia="Calibri"/>
                <w:sz w:val="20"/>
                <w:szCs w:val="20"/>
              </w:rPr>
              <w:br/>
            </w:r>
            <w:hyperlink r:id="rId39" w:history="1">
              <w:r w:rsidR="00AD3128" w:rsidRPr="00AD3128">
                <w:rPr>
                  <w:rStyle w:val="Hyperlink"/>
                  <w:rFonts w:eastAsia="Calibri"/>
                  <w:sz w:val="20"/>
                  <w:szCs w:val="20"/>
                </w:rPr>
                <w:t>http://frwebgate.access.gpo.gov/cgi-bin/getdoc.cgi?dbname=112_cong_bills&amp;docid=f:s1408is.txt.pdf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Data Breach Notification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Sen. Feinstein (D-CA)</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the Judiciary – (7/22/11)</w:t>
            </w:r>
          </w:p>
        </w:tc>
      </w:tr>
      <w:tr w:rsidR="00E81E69" w:rsidRPr="007E0DA3" w:rsidTr="003751B6">
        <w:trPr>
          <w:cantSplit/>
          <w:trHeight w:val="676"/>
        </w:trPr>
        <w:tc>
          <w:tcPr>
            <w:tcW w:w="3438"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 1151</w:t>
            </w:r>
            <w:r w:rsidR="00AD3128">
              <w:rPr>
                <w:rStyle w:val="body-text-1-c-c1"/>
                <w:rFonts w:eastAsia="Calibri"/>
                <w:sz w:val="20"/>
                <w:szCs w:val="20"/>
              </w:rPr>
              <w:br/>
            </w:r>
            <w:hyperlink r:id="rId40" w:history="1">
              <w:r w:rsidR="00AD3128" w:rsidRPr="00AD3128">
                <w:rPr>
                  <w:rStyle w:val="Hyperlink"/>
                  <w:rFonts w:eastAsia="Calibri"/>
                  <w:sz w:val="20"/>
                  <w:szCs w:val="20"/>
                </w:rPr>
                <w:t>http://www.gpo.gov/fdsys/pkg/BILLS-112s1151is/pdf/BILLS-112s1151is.pdf</w:t>
              </w:r>
            </w:hyperlink>
          </w:p>
        </w:tc>
        <w:tc>
          <w:tcPr>
            <w:tcW w:w="4345"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Personal Data Privacy and Security Act of 2011</w:t>
            </w:r>
          </w:p>
        </w:tc>
        <w:tc>
          <w:tcPr>
            <w:tcW w:w="1837"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Sen. Leahy (D-VT)</w:t>
            </w:r>
          </w:p>
        </w:tc>
        <w:tc>
          <w:tcPr>
            <w:tcW w:w="2462" w:type="dxa"/>
            <w:shd w:val="clear" w:color="auto" w:fill="auto"/>
          </w:tcPr>
          <w:p w:rsidR="00E81E69" w:rsidRPr="003751B6" w:rsidRDefault="00E81E69">
            <w:pPr>
              <w:rPr>
                <w:rStyle w:val="body-text-1-c-c1"/>
                <w:rFonts w:eastAsia="Calibri"/>
                <w:sz w:val="20"/>
                <w:szCs w:val="20"/>
              </w:rPr>
            </w:pPr>
            <w:r w:rsidRPr="003751B6">
              <w:rPr>
                <w:rStyle w:val="body-text-1-c-c1"/>
                <w:rFonts w:eastAsia="Calibri"/>
                <w:sz w:val="20"/>
                <w:szCs w:val="20"/>
              </w:rPr>
              <w:t>Referred to Senate Committee on the Judiciary – (6/7/11)</w:t>
            </w:r>
          </w:p>
        </w:tc>
      </w:tr>
    </w:tbl>
    <w:p w:rsidR="001F1E31" w:rsidRPr="00E81E69" w:rsidRDefault="001F1E31"/>
    <w:sectPr w:rsidR="001F1E31" w:rsidRPr="00E81E69" w:rsidSect="003751B6">
      <w:headerReference w:type="first" r:id="rId41"/>
      <w:pgSz w:w="15840" w:h="12240" w:orient="landscape" w:code="1"/>
      <w:pgMar w:top="1627" w:right="1987" w:bottom="1440" w:left="1987" w:header="720" w:footer="6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73" w:rsidRDefault="00252873" w:rsidP="009D6293">
      <w:r>
        <w:separator/>
      </w:r>
    </w:p>
    <w:p w:rsidR="00252873" w:rsidRDefault="00252873" w:rsidP="009D6293"/>
  </w:endnote>
  <w:endnote w:type="continuationSeparator" w:id="0">
    <w:p w:rsidR="00252873" w:rsidRDefault="00252873" w:rsidP="009D6293">
      <w:r>
        <w:continuationSeparator/>
      </w:r>
    </w:p>
    <w:p w:rsidR="00252873" w:rsidRDefault="00252873" w:rsidP="009D6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60687"/>
      <w:docPartObj>
        <w:docPartGallery w:val="Page Numbers (Bottom of Page)"/>
        <w:docPartUnique/>
      </w:docPartObj>
    </w:sdtPr>
    <w:sdtEndPr/>
    <w:sdtContent>
      <w:sdt>
        <w:sdtPr>
          <w:id w:val="-1669238322"/>
          <w:docPartObj>
            <w:docPartGallery w:val="Page Numbers (Top of Page)"/>
            <w:docPartUnique/>
          </w:docPartObj>
        </w:sdtPr>
        <w:sdtEndPr/>
        <w:sdtContent>
          <w:p w:rsidR="001F1E31" w:rsidRPr="001C463B" w:rsidRDefault="001C463B" w:rsidP="004E49F8">
            <w:pPr>
              <w:pStyle w:val="Footer"/>
              <w:jc w:val="center"/>
            </w:pPr>
            <w:r w:rsidRPr="001C463B">
              <w:t xml:space="preserve">Page </w:t>
            </w:r>
            <w:r w:rsidRPr="003751B6">
              <w:fldChar w:fldCharType="begin"/>
            </w:r>
            <w:r w:rsidRPr="003751B6">
              <w:instrText xml:space="preserve"> PAGE </w:instrText>
            </w:r>
            <w:r w:rsidRPr="003751B6">
              <w:fldChar w:fldCharType="separate"/>
            </w:r>
            <w:r w:rsidR="004E49F8">
              <w:rPr>
                <w:noProof/>
              </w:rPr>
              <w:t>7</w:t>
            </w:r>
            <w:r w:rsidRPr="003751B6">
              <w:fldChar w:fldCharType="end"/>
            </w:r>
            <w:r w:rsidRPr="001C463B">
              <w:t xml:space="preserve"> of </w:t>
            </w:r>
            <w:r w:rsidR="00252873">
              <w:fldChar w:fldCharType="begin"/>
            </w:r>
            <w:r w:rsidR="00252873">
              <w:instrText xml:space="preserve"> NUMPAGES  </w:instrText>
            </w:r>
            <w:r w:rsidR="00252873">
              <w:fldChar w:fldCharType="separate"/>
            </w:r>
            <w:r w:rsidR="004E49F8">
              <w:rPr>
                <w:noProof/>
              </w:rPr>
              <w:t>7</w:t>
            </w:r>
            <w:r w:rsidR="00252873">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31" w:rsidRDefault="006269BA">
    <w:pPr>
      <w:pStyle w:val="Footer"/>
    </w:pPr>
    <w:r>
      <w:rPr>
        <w:noProof/>
      </w:rPr>
      <w:drawing>
        <wp:anchor distT="0" distB="0" distL="114300" distR="114300" simplePos="0" relativeHeight="251657728" behindDoc="1" locked="0" layoutInCell="1" allowOverlap="1" wp14:anchorId="5BD7F5EC" wp14:editId="07024757">
          <wp:simplePos x="0" y="0"/>
          <wp:positionH relativeFrom="column">
            <wp:posOffset>990600</wp:posOffset>
          </wp:positionH>
          <wp:positionV relativeFrom="paragraph">
            <wp:posOffset>-106045</wp:posOffset>
          </wp:positionV>
          <wp:extent cx="4937760" cy="484505"/>
          <wp:effectExtent l="0" t="0" r="0" b="0"/>
          <wp:wrapTight wrapText="bothSides">
            <wp:wrapPolygon edited="0">
              <wp:start x="0" y="0"/>
              <wp:lineTo x="0" y="20383"/>
              <wp:lineTo x="21500" y="20383"/>
              <wp:lineTo x="21500" y="0"/>
              <wp:lineTo x="0" y="0"/>
            </wp:wrapPolygon>
          </wp:wrapTight>
          <wp:docPr id="4" name="Picture 4" descr="LHfooterDC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HfooterDCupd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0" cy="484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73" w:rsidRDefault="00252873" w:rsidP="009D6293">
      <w:r>
        <w:separator/>
      </w:r>
    </w:p>
    <w:p w:rsidR="00252873" w:rsidRDefault="00252873" w:rsidP="009D6293"/>
  </w:footnote>
  <w:footnote w:type="continuationSeparator" w:id="0">
    <w:p w:rsidR="00252873" w:rsidRDefault="00252873" w:rsidP="009D6293">
      <w:r>
        <w:continuationSeparator/>
      </w:r>
    </w:p>
    <w:p w:rsidR="00252873" w:rsidRDefault="00252873" w:rsidP="009D6293"/>
  </w:footnote>
  <w:footnote w:id="1">
    <w:p w:rsidR="00BC0AEE" w:rsidRPr="009D6293" w:rsidRDefault="00BC0AEE" w:rsidP="003751B6">
      <w:pPr>
        <w:pStyle w:val="Footnote"/>
      </w:pPr>
      <w:r w:rsidRPr="00BC0AEE">
        <w:rPr>
          <w:rStyle w:val="FootnoteReference"/>
        </w:rPr>
        <w:footnoteRef/>
      </w:r>
      <w:r w:rsidRPr="009D6293">
        <w:t xml:space="preserve"> See the following related EDUCAUSE </w:t>
      </w:r>
      <w:r w:rsidRPr="003751B6">
        <w:rPr>
          <w:i/>
        </w:rPr>
        <w:t>Policy Update</w:t>
      </w:r>
      <w:r w:rsidRPr="009D6293">
        <w:t xml:space="preserve"> blog entries: </w:t>
      </w:r>
    </w:p>
    <w:p w:rsidR="00BC0AEE" w:rsidRPr="00BC0AEE" w:rsidRDefault="00BC0AEE" w:rsidP="003751B6">
      <w:pPr>
        <w:pStyle w:val="FootnoteText"/>
        <w:numPr>
          <w:ilvl w:val="0"/>
          <w:numId w:val="4"/>
        </w:numPr>
      </w:pPr>
      <w:r w:rsidRPr="00BC0AEE">
        <w:t xml:space="preserve">Cheverie, Joan, “Mobile Privacy and the Responsibility of Communications Service Providers” (5/12/11): </w:t>
      </w:r>
      <w:hyperlink r:id="rId1" w:history="1">
        <w:r w:rsidRPr="003751B6">
          <w:rPr>
            <w:rStyle w:val="Hyperlink"/>
            <w:sz w:val="18"/>
            <w:szCs w:val="18"/>
          </w:rPr>
          <w:t>http://www.educause.edu/blog/cheverij/MobilePrivacyandtheResponsibil/228777</w:t>
        </w:r>
      </w:hyperlink>
    </w:p>
    <w:p w:rsidR="00BC0AEE" w:rsidRPr="00BC0AEE" w:rsidRDefault="00BC0AEE" w:rsidP="003751B6">
      <w:pPr>
        <w:pStyle w:val="FootnoteText"/>
        <w:numPr>
          <w:ilvl w:val="0"/>
          <w:numId w:val="4"/>
        </w:numPr>
      </w:pPr>
      <w:r w:rsidRPr="00BC0AEE">
        <w:t xml:space="preserve">Cheverie, Joan, “Electronic Communications Privacy Act of 2011” (5/18/11): </w:t>
      </w:r>
      <w:hyperlink r:id="rId2" w:history="1">
        <w:r w:rsidRPr="003751B6">
          <w:rPr>
            <w:rStyle w:val="Hyperlink"/>
            <w:sz w:val="18"/>
            <w:szCs w:val="18"/>
          </w:rPr>
          <w:t>http://www.educause.edu/blog/cheverij/ElectronicCommunicationsPrivac/229064</w:t>
        </w:r>
      </w:hyperlink>
    </w:p>
    <w:p w:rsidR="00BC0AEE" w:rsidRPr="00BC0AEE" w:rsidRDefault="00BC0AEE" w:rsidP="003751B6">
      <w:pPr>
        <w:pStyle w:val="FootnoteText"/>
        <w:numPr>
          <w:ilvl w:val="0"/>
          <w:numId w:val="4"/>
        </w:numPr>
      </w:pPr>
      <w:r w:rsidRPr="00BC0AEE">
        <w:t xml:space="preserve">Cheverie, Joan, “Consumer Privacy and Protection in the Mobile Marketplace” (5/19/11): </w:t>
      </w:r>
      <w:hyperlink r:id="rId3" w:history="1">
        <w:r w:rsidRPr="003751B6">
          <w:rPr>
            <w:rStyle w:val="Hyperlink"/>
            <w:sz w:val="18"/>
            <w:szCs w:val="18"/>
          </w:rPr>
          <w:t>http://www.educause.edu/blog/cheverij/ConsumerPrivacyandProtectionin/229123</w:t>
        </w:r>
      </w:hyperlink>
    </w:p>
    <w:p w:rsidR="00BC0AEE" w:rsidRPr="00BC0AEE" w:rsidRDefault="00BC0AEE" w:rsidP="003751B6">
      <w:pPr>
        <w:pStyle w:val="FootnoteText"/>
        <w:numPr>
          <w:ilvl w:val="0"/>
          <w:numId w:val="4"/>
        </w:numPr>
      </w:pPr>
      <w:r w:rsidRPr="00BC0AEE">
        <w:t>Cheverie, Joan, “Personal Data Privacy and Security Act” (7/15/11): http://www.educause.edu/blog/cheverij/PersonalDataPrivacyandSecurity/232390</w:t>
      </w:r>
    </w:p>
  </w:footnote>
  <w:footnote w:id="2">
    <w:p w:rsidR="00BC0AEE" w:rsidRDefault="00BC0AEE" w:rsidP="003751B6">
      <w:pPr>
        <w:pStyle w:val="Footnote"/>
      </w:pPr>
      <w:r>
        <w:rPr>
          <w:rStyle w:val="FootnoteReference"/>
        </w:rPr>
        <w:footnoteRef/>
      </w:r>
      <w:r>
        <w:t xml:space="preserve"> Privacy bills graphic from Jamie Tucker via his Twitter account, @</w:t>
      </w:r>
      <w:proofErr w:type="spellStart"/>
      <w:r>
        <w:t>JamieTuckerDC</w:t>
      </w:r>
      <w:proofErr w:type="spellEnd"/>
      <w:r>
        <w:t xml:space="preserve">; graphic available from: </w:t>
      </w:r>
      <w:hyperlink r:id="rId4" w:history="1">
        <w:r w:rsidRPr="002923DA">
          <w:rPr>
            <w:rStyle w:val="Hyperlink"/>
          </w:rPr>
          <w:t>http://twitpic.com/5ybqru</w:t>
        </w:r>
      </w:hyperlink>
      <w:r>
        <w:t xml:space="preserve"> </w:t>
      </w:r>
    </w:p>
  </w:footnote>
  <w:footnote w:id="3">
    <w:p w:rsidR="007E0DA3" w:rsidRDefault="007E0DA3" w:rsidP="003751B6">
      <w:pPr>
        <w:pStyle w:val="Footnote"/>
      </w:pPr>
      <w:r>
        <w:rPr>
          <w:rStyle w:val="FootnoteReference"/>
        </w:rPr>
        <w:footnoteRef/>
      </w:r>
      <w:r>
        <w:t xml:space="preserve"> </w:t>
      </w:r>
      <w:proofErr w:type="spellStart"/>
      <w:r>
        <w:t>Lisko</w:t>
      </w:r>
      <w:proofErr w:type="spellEnd"/>
      <w:r>
        <w:t>, Tim, “112th Privacy Legislation” (</w:t>
      </w:r>
      <w:r w:rsidRPr="003751B6">
        <w:rPr>
          <w:i/>
        </w:rPr>
        <w:t>Privacy Wonk</w:t>
      </w:r>
      <w:r>
        <w:t xml:space="preserve">: 8/2/11). Available at: </w:t>
      </w:r>
      <w:hyperlink r:id="rId5" w:history="1">
        <w:r w:rsidRPr="002923DA">
          <w:rPr>
            <w:rStyle w:val="Hyperlink"/>
          </w:rPr>
          <w:t>http://www.privacywonk.net/2011/08/112th-privacy-legislation.php</w:t>
        </w:r>
      </w:hyperlink>
      <w:r>
        <w:t xml:space="preserve"> </w:t>
      </w:r>
    </w:p>
  </w:footnote>
  <w:footnote w:id="4">
    <w:p w:rsidR="00B81657" w:rsidRDefault="00B81657" w:rsidP="003751B6">
      <w:pPr>
        <w:pStyle w:val="Footnote"/>
      </w:pPr>
      <w:r>
        <w:rPr>
          <w:rStyle w:val="FootnoteReference"/>
        </w:rPr>
        <w:footnoteRef/>
      </w:r>
      <w:r>
        <w:t xml:space="preserve"> </w:t>
      </w:r>
      <w:r w:rsidRPr="003751B6">
        <w:rPr>
          <w:i/>
        </w:rPr>
        <w:t>Children's Online Privacy Protection Act of 1998</w:t>
      </w:r>
      <w:r>
        <w:t xml:space="preserve">, available at: </w:t>
      </w:r>
      <w:hyperlink r:id="rId6" w:history="1">
        <w:r w:rsidRPr="00B81657">
          <w:rPr>
            <w:rStyle w:val="Hyperlink"/>
          </w:rPr>
          <w:t>http://www.ftc.gov/ogc/coppa1.htm</w:t>
        </w:r>
      </w:hyperlink>
    </w:p>
  </w:footnote>
  <w:footnote w:id="5">
    <w:p w:rsidR="00AD3128" w:rsidRDefault="00AD3128" w:rsidP="003751B6">
      <w:pPr>
        <w:pStyle w:val="Footnote"/>
      </w:pPr>
      <w:r>
        <w:rPr>
          <w:rStyle w:val="FootnoteReference"/>
        </w:rPr>
        <w:footnoteRef/>
      </w:r>
      <w:r>
        <w:t xml:space="preserve"> </w:t>
      </w:r>
      <w:r w:rsidR="00B2455C">
        <w:t xml:space="preserve">See the White House’s “Fact Sheet: Cybersecurity Legislative Proposal”, available at: </w:t>
      </w:r>
      <w:hyperlink r:id="rId7" w:history="1">
        <w:r w:rsidR="00B2455C" w:rsidRPr="002923DA">
          <w:rPr>
            <w:rStyle w:val="Hyperlink"/>
          </w:rPr>
          <w:t>http://www.whitehouse.gov/sites/default/files/fact_sheet-administration_cybersecurity_legislative_proposal.pdf</w:t>
        </w:r>
      </w:hyperlink>
      <w:r w:rsidR="00B2455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31" w:rsidRPr="001C463B" w:rsidRDefault="001C463B" w:rsidP="004E49F8">
    <w:pPr>
      <w:pStyle w:val="Header"/>
      <w:jc w:val="right"/>
    </w:pPr>
    <w:r w:rsidRPr="009D6293">
      <w:t>Data Privacy Legislation: An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31" w:rsidRDefault="006269BA" w:rsidP="004E49F8">
    <w:pPr>
      <w:pStyle w:val="Header"/>
      <w:jc w:val="center"/>
    </w:pPr>
    <w:r>
      <w:rPr>
        <w:noProof/>
      </w:rPr>
      <w:drawing>
        <wp:inline distT="0" distB="0" distL="0" distR="0" wp14:anchorId="6BDD40E0" wp14:editId="220EC73D">
          <wp:extent cx="1302385" cy="301625"/>
          <wp:effectExtent l="0" t="0" r="0" b="3175"/>
          <wp:docPr id="3" name="Picture 3" descr="logoEDUC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UCAUSE.jpg"/>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a:stretch>
                    <a:fillRect/>
                  </a:stretch>
                </pic:blipFill>
                <pic:spPr bwMode="auto">
                  <a:xfrm>
                    <a:off x="0" y="0"/>
                    <a:ext cx="1302385" cy="301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69" w:rsidRDefault="006269BA" w:rsidP="003751B6">
    <w:pPr>
      <w:pStyle w:val="Header"/>
    </w:pPr>
    <w:r>
      <w:rPr>
        <w:noProof/>
      </w:rPr>
      <w:drawing>
        <wp:inline distT="0" distB="0" distL="0" distR="0" wp14:anchorId="53AB2909" wp14:editId="68522166">
          <wp:extent cx="1302385" cy="301625"/>
          <wp:effectExtent l="0" t="0" r="0" b="3175"/>
          <wp:docPr id="2" name="Picture 2" descr="logoEDUC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DUCAUSE.jpg"/>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a:stretch>
                    <a:fillRect/>
                  </a:stretch>
                </pic:blipFill>
                <pic:spPr bwMode="auto">
                  <a:xfrm>
                    <a:off x="0" y="0"/>
                    <a:ext cx="1302385"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E64"/>
    <w:multiLevelType w:val="hybridMultilevel"/>
    <w:tmpl w:val="230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10740"/>
    <w:multiLevelType w:val="hybridMultilevel"/>
    <w:tmpl w:val="819E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23FDA"/>
    <w:multiLevelType w:val="hybridMultilevel"/>
    <w:tmpl w:val="AC96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23F9C"/>
    <w:multiLevelType w:val="hybridMultilevel"/>
    <w:tmpl w:val="FCAE249C"/>
    <w:lvl w:ilvl="0" w:tplc="971808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1D"/>
    <w:rsid w:val="000B143D"/>
    <w:rsid w:val="001A5EC9"/>
    <w:rsid w:val="001C0CB0"/>
    <w:rsid w:val="001C463B"/>
    <w:rsid w:val="001F1E31"/>
    <w:rsid w:val="00252873"/>
    <w:rsid w:val="00277EC0"/>
    <w:rsid w:val="00285505"/>
    <w:rsid w:val="00344304"/>
    <w:rsid w:val="003751B6"/>
    <w:rsid w:val="003D2D67"/>
    <w:rsid w:val="00463DEA"/>
    <w:rsid w:val="004720DC"/>
    <w:rsid w:val="004E49F8"/>
    <w:rsid w:val="0050733E"/>
    <w:rsid w:val="00525B3D"/>
    <w:rsid w:val="006269BA"/>
    <w:rsid w:val="006B2C54"/>
    <w:rsid w:val="006E1E10"/>
    <w:rsid w:val="00747328"/>
    <w:rsid w:val="007E0DA3"/>
    <w:rsid w:val="008366CA"/>
    <w:rsid w:val="008506F1"/>
    <w:rsid w:val="00861344"/>
    <w:rsid w:val="008B670B"/>
    <w:rsid w:val="00905375"/>
    <w:rsid w:val="009544A5"/>
    <w:rsid w:val="00996460"/>
    <w:rsid w:val="009A11F9"/>
    <w:rsid w:val="009B0E1D"/>
    <w:rsid w:val="009B4165"/>
    <w:rsid w:val="009D6293"/>
    <w:rsid w:val="009F592F"/>
    <w:rsid w:val="00A61616"/>
    <w:rsid w:val="00AC34CD"/>
    <w:rsid w:val="00AD3128"/>
    <w:rsid w:val="00AE1D75"/>
    <w:rsid w:val="00AE342B"/>
    <w:rsid w:val="00B23064"/>
    <w:rsid w:val="00B2455C"/>
    <w:rsid w:val="00B53D38"/>
    <w:rsid w:val="00B81657"/>
    <w:rsid w:val="00BC0AEE"/>
    <w:rsid w:val="00C105FF"/>
    <w:rsid w:val="00C1676F"/>
    <w:rsid w:val="00C37E55"/>
    <w:rsid w:val="00D5786E"/>
    <w:rsid w:val="00DF0256"/>
    <w:rsid w:val="00E415D9"/>
    <w:rsid w:val="00E814BA"/>
    <w:rsid w:val="00E81E69"/>
    <w:rsid w:val="00EE1B78"/>
    <w:rsid w:val="00F3127D"/>
    <w:rsid w:val="00F7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d0b3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293"/>
    <w:rPr>
      <w:rFonts w:ascii="Calibri" w:hAnsi="Calibri" w:cs="Calibri"/>
      <w:sz w:val="22"/>
      <w:szCs w:val="22"/>
    </w:rPr>
  </w:style>
  <w:style w:type="paragraph" w:styleId="Heading1">
    <w:name w:val="heading 1"/>
    <w:basedOn w:val="Normal"/>
    <w:next w:val="Normal"/>
    <w:link w:val="Heading1Char"/>
    <w:qFormat/>
    <w:rsid w:val="009D6293"/>
    <w:pPr>
      <w:spacing w:line="276" w:lineRule="auto"/>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character" w:styleId="Hyperlink">
    <w:name w:val="Hyperlink"/>
    <w:uiPriority w:val="99"/>
    <w:unhideWhenUsed/>
    <w:rsid w:val="00E81E69"/>
    <w:rPr>
      <w:color w:val="0000FF"/>
      <w:u w:val="single"/>
    </w:rPr>
  </w:style>
  <w:style w:type="character" w:customStyle="1" w:styleId="body-text-1-c-c2">
    <w:name w:val="body-text-1-c-c2"/>
    <w:rsid w:val="00E81E69"/>
  </w:style>
  <w:style w:type="character" w:customStyle="1" w:styleId="body-text-1-c-c1">
    <w:name w:val="body-text-1-c-c1"/>
    <w:rsid w:val="00E81E69"/>
  </w:style>
  <w:style w:type="table" w:styleId="TableGrid">
    <w:name w:val="Table Grid"/>
    <w:basedOn w:val="TableNormal"/>
    <w:uiPriority w:val="59"/>
    <w:rsid w:val="00E81E6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1E69"/>
    <w:rPr>
      <w:color w:val="800080"/>
      <w:u w:val="single"/>
    </w:rPr>
  </w:style>
  <w:style w:type="character" w:styleId="CommentReference">
    <w:name w:val="annotation reference"/>
    <w:rsid w:val="00E81E69"/>
    <w:rPr>
      <w:sz w:val="16"/>
      <w:szCs w:val="16"/>
    </w:rPr>
  </w:style>
  <w:style w:type="paragraph" w:styleId="CommentText">
    <w:name w:val="annotation text"/>
    <w:basedOn w:val="Normal"/>
    <w:link w:val="CommentTextChar"/>
    <w:rsid w:val="00E81E69"/>
    <w:rPr>
      <w:sz w:val="20"/>
      <w:szCs w:val="20"/>
    </w:rPr>
  </w:style>
  <w:style w:type="character" w:customStyle="1" w:styleId="CommentTextChar">
    <w:name w:val="Comment Text Char"/>
    <w:basedOn w:val="DefaultParagraphFont"/>
    <w:link w:val="CommentText"/>
    <w:rsid w:val="00E81E69"/>
  </w:style>
  <w:style w:type="paragraph" w:styleId="CommentSubject">
    <w:name w:val="annotation subject"/>
    <w:basedOn w:val="CommentText"/>
    <w:next w:val="CommentText"/>
    <w:link w:val="CommentSubjectChar"/>
    <w:rsid w:val="00E81E69"/>
    <w:rPr>
      <w:b/>
      <w:bCs/>
    </w:rPr>
  </w:style>
  <w:style w:type="character" w:customStyle="1" w:styleId="CommentSubjectChar">
    <w:name w:val="Comment Subject Char"/>
    <w:link w:val="CommentSubject"/>
    <w:rsid w:val="00E81E69"/>
    <w:rPr>
      <w:b/>
      <w:bCs/>
    </w:rPr>
  </w:style>
  <w:style w:type="paragraph" w:styleId="ListParagraph">
    <w:name w:val="List Paragraph"/>
    <w:basedOn w:val="Normal"/>
    <w:uiPriority w:val="34"/>
    <w:qFormat/>
    <w:rsid w:val="00C105FF"/>
    <w:pPr>
      <w:ind w:left="720"/>
      <w:contextualSpacing/>
    </w:pPr>
  </w:style>
  <w:style w:type="paragraph" w:styleId="FootnoteText">
    <w:name w:val="footnote text"/>
    <w:basedOn w:val="Normal"/>
    <w:link w:val="FootnoteTextChar"/>
    <w:rsid w:val="00BC0AEE"/>
    <w:rPr>
      <w:sz w:val="20"/>
      <w:szCs w:val="20"/>
    </w:rPr>
  </w:style>
  <w:style w:type="character" w:customStyle="1" w:styleId="FootnoteTextChar">
    <w:name w:val="Footnote Text Char"/>
    <w:basedOn w:val="DefaultParagraphFont"/>
    <w:link w:val="FootnoteText"/>
    <w:rsid w:val="00BC0AEE"/>
  </w:style>
  <w:style w:type="character" w:styleId="FootnoteReference">
    <w:name w:val="footnote reference"/>
    <w:basedOn w:val="DefaultParagraphFont"/>
    <w:rsid w:val="00BC0AEE"/>
    <w:rPr>
      <w:vertAlign w:val="superscript"/>
    </w:rPr>
  </w:style>
  <w:style w:type="paragraph" w:customStyle="1" w:styleId="Footnote">
    <w:name w:val="Footnote"/>
    <w:basedOn w:val="FootnoteText"/>
    <w:link w:val="FootnoteChar"/>
    <w:qFormat/>
    <w:rsid w:val="00BC0AEE"/>
    <w:rPr>
      <w:sz w:val="18"/>
      <w:szCs w:val="18"/>
    </w:rPr>
  </w:style>
  <w:style w:type="character" w:customStyle="1" w:styleId="FootnoteChar">
    <w:name w:val="Footnote Char"/>
    <w:basedOn w:val="FootnoteTextChar"/>
    <w:link w:val="Footnote"/>
    <w:rsid w:val="00BC0AEE"/>
    <w:rPr>
      <w:rFonts w:ascii="Calibri" w:hAnsi="Calibri" w:cs="Calibri"/>
      <w:sz w:val="18"/>
      <w:szCs w:val="18"/>
    </w:rPr>
  </w:style>
  <w:style w:type="character" w:styleId="Strong">
    <w:name w:val="Strong"/>
    <w:qFormat/>
    <w:rsid w:val="009D6293"/>
    <w:rPr>
      <w:rFonts w:ascii="Calibri" w:hAnsi="Calibri" w:cs="Calibri"/>
      <w:b/>
      <w:sz w:val="22"/>
      <w:szCs w:val="22"/>
    </w:rPr>
  </w:style>
  <w:style w:type="character" w:customStyle="1" w:styleId="Heading1Char">
    <w:name w:val="Heading 1 Char"/>
    <w:basedOn w:val="DefaultParagraphFont"/>
    <w:link w:val="Heading1"/>
    <w:rsid w:val="009D6293"/>
    <w:rPr>
      <w:rFonts w:ascii="Calibri" w:hAnsi="Calibri" w:cs="Calibr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293"/>
    <w:rPr>
      <w:rFonts w:ascii="Calibri" w:hAnsi="Calibri" w:cs="Calibri"/>
      <w:sz w:val="22"/>
      <w:szCs w:val="22"/>
    </w:rPr>
  </w:style>
  <w:style w:type="paragraph" w:styleId="Heading1">
    <w:name w:val="heading 1"/>
    <w:basedOn w:val="Normal"/>
    <w:next w:val="Normal"/>
    <w:link w:val="Heading1Char"/>
    <w:qFormat/>
    <w:rsid w:val="009D6293"/>
    <w:pPr>
      <w:spacing w:line="276" w:lineRule="auto"/>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character" w:styleId="Hyperlink">
    <w:name w:val="Hyperlink"/>
    <w:uiPriority w:val="99"/>
    <w:unhideWhenUsed/>
    <w:rsid w:val="00E81E69"/>
    <w:rPr>
      <w:color w:val="0000FF"/>
      <w:u w:val="single"/>
    </w:rPr>
  </w:style>
  <w:style w:type="character" w:customStyle="1" w:styleId="body-text-1-c-c2">
    <w:name w:val="body-text-1-c-c2"/>
    <w:rsid w:val="00E81E69"/>
  </w:style>
  <w:style w:type="character" w:customStyle="1" w:styleId="body-text-1-c-c1">
    <w:name w:val="body-text-1-c-c1"/>
    <w:rsid w:val="00E81E69"/>
  </w:style>
  <w:style w:type="table" w:styleId="TableGrid">
    <w:name w:val="Table Grid"/>
    <w:basedOn w:val="TableNormal"/>
    <w:uiPriority w:val="59"/>
    <w:rsid w:val="00E81E6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1E69"/>
    <w:rPr>
      <w:color w:val="800080"/>
      <w:u w:val="single"/>
    </w:rPr>
  </w:style>
  <w:style w:type="character" w:styleId="CommentReference">
    <w:name w:val="annotation reference"/>
    <w:rsid w:val="00E81E69"/>
    <w:rPr>
      <w:sz w:val="16"/>
      <w:szCs w:val="16"/>
    </w:rPr>
  </w:style>
  <w:style w:type="paragraph" w:styleId="CommentText">
    <w:name w:val="annotation text"/>
    <w:basedOn w:val="Normal"/>
    <w:link w:val="CommentTextChar"/>
    <w:rsid w:val="00E81E69"/>
    <w:rPr>
      <w:sz w:val="20"/>
      <w:szCs w:val="20"/>
    </w:rPr>
  </w:style>
  <w:style w:type="character" w:customStyle="1" w:styleId="CommentTextChar">
    <w:name w:val="Comment Text Char"/>
    <w:basedOn w:val="DefaultParagraphFont"/>
    <w:link w:val="CommentText"/>
    <w:rsid w:val="00E81E69"/>
  </w:style>
  <w:style w:type="paragraph" w:styleId="CommentSubject">
    <w:name w:val="annotation subject"/>
    <w:basedOn w:val="CommentText"/>
    <w:next w:val="CommentText"/>
    <w:link w:val="CommentSubjectChar"/>
    <w:rsid w:val="00E81E69"/>
    <w:rPr>
      <w:b/>
      <w:bCs/>
    </w:rPr>
  </w:style>
  <w:style w:type="character" w:customStyle="1" w:styleId="CommentSubjectChar">
    <w:name w:val="Comment Subject Char"/>
    <w:link w:val="CommentSubject"/>
    <w:rsid w:val="00E81E69"/>
    <w:rPr>
      <w:b/>
      <w:bCs/>
    </w:rPr>
  </w:style>
  <w:style w:type="paragraph" w:styleId="ListParagraph">
    <w:name w:val="List Paragraph"/>
    <w:basedOn w:val="Normal"/>
    <w:uiPriority w:val="34"/>
    <w:qFormat/>
    <w:rsid w:val="00C105FF"/>
    <w:pPr>
      <w:ind w:left="720"/>
      <w:contextualSpacing/>
    </w:pPr>
  </w:style>
  <w:style w:type="paragraph" w:styleId="FootnoteText">
    <w:name w:val="footnote text"/>
    <w:basedOn w:val="Normal"/>
    <w:link w:val="FootnoteTextChar"/>
    <w:rsid w:val="00BC0AEE"/>
    <w:rPr>
      <w:sz w:val="20"/>
      <w:szCs w:val="20"/>
    </w:rPr>
  </w:style>
  <w:style w:type="character" w:customStyle="1" w:styleId="FootnoteTextChar">
    <w:name w:val="Footnote Text Char"/>
    <w:basedOn w:val="DefaultParagraphFont"/>
    <w:link w:val="FootnoteText"/>
    <w:rsid w:val="00BC0AEE"/>
  </w:style>
  <w:style w:type="character" w:styleId="FootnoteReference">
    <w:name w:val="footnote reference"/>
    <w:basedOn w:val="DefaultParagraphFont"/>
    <w:rsid w:val="00BC0AEE"/>
    <w:rPr>
      <w:vertAlign w:val="superscript"/>
    </w:rPr>
  </w:style>
  <w:style w:type="paragraph" w:customStyle="1" w:styleId="Footnote">
    <w:name w:val="Footnote"/>
    <w:basedOn w:val="FootnoteText"/>
    <w:link w:val="FootnoteChar"/>
    <w:qFormat/>
    <w:rsid w:val="00BC0AEE"/>
    <w:rPr>
      <w:sz w:val="18"/>
      <w:szCs w:val="18"/>
    </w:rPr>
  </w:style>
  <w:style w:type="character" w:customStyle="1" w:styleId="FootnoteChar">
    <w:name w:val="Footnote Char"/>
    <w:basedOn w:val="FootnoteTextChar"/>
    <w:link w:val="Footnote"/>
    <w:rsid w:val="00BC0AEE"/>
    <w:rPr>
      <w:rFonts w:ascii="Calibri" w:hAnsi="Calibri" w:cs="Calibri"/>
      <w:sz w:val="18"/>
      <w:szCs w:val="18"/>
    </w:rPr>
  </w:style>
  <w:style w:type="character" w:styleId="Strong">
    <w:name w:val="Strong"/>
    <w:qFormat/>
    <w:rsid w:val="009D6293"/>
    <w:rPr>
      <w:rFonts w:ascii="Calibri" w:hAnsi="Calibri" w:cs="Calibri"/>
      <w:b/>
      <w:sz w:val="22"/>
      <w:szCs w:val="22"/>
    </w:rPr>
  </w:style>
  <w:style w:type="character" w:customStyle="1" w:styleId="Heading1Char">
    <w:name w:val="Heading 1 Char"/>
    <w:basedOn w:val="DefaultParagraphFont"/>
    <w:link w:val="Heading1"/>
    <w:rsid w:val="009D6293"/>
    <w:rPr>
      <w:rFonts w:ascii="Calibri"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9304">
      <w:bodyDiv w:val="1"/>
      <w:marLeft w:val="0"/>
      <w:marRight w:val="0"/>
      <w:marTop w:val="0"/>
      <w:marBottom w:val="0"/>
      <w:divBdr>
        <w:top w:val="none" w:sz="0" w:space="0" w:color="auto"/>
        <w:left w:val="none" w:sz="0" w:space="0" w:color="auto"/>
        <w:bottom w:val="none" w:sz="0" w:space="0" w:color="auto"/>
        <w:right w:val="none" w:sz="0" w:space="0" w:color="auto"/>
      </w:divBdr>
    </w:div>
    <w:div w:id="588467678">
      <w:bodyDiv w:val="1"/>
      <w:marLeft w:val="0"/>
      <w:marRight w:val="0"/>
      <w:marTop w:val="0"/>
      <w:marBottom w:val="0"/>
      <w:divBdr>
        <w:top w:val="none" w:sz="0" w:space="0" w:color="auto"/>
        <w:left w:val="none" w:sz="0" w:space="0" w:color="auto"/>
        <w:bottom w:val="none" w:sz="0" w:space="0" w:color="auto"/>
        <w:right w:val="none" w:sz="0" w:space="0" w:color="auto"/>
      </w:divBdr>
    </w:div>
    <w:div w:id="739015180">
      <w:bodyDiv w:val="1"/>
      <w:marLeft w:val="0"/>
      <w:marRight w:val="0"/>
      <w:marTop w:val="0"/>
      <w:marBottom w:val="0"/>
      <w:divBdr>
        <w:top w:val="none" w:sz="0" w:space="0" w:color="auto"/>
        <w:left w:val="none" w:sz="0" w:space="0" w:color="auto"/>
        <w:bottom w:val="none" w:sz="0" w:space="0" w:color="auto"/>
        <w:right w:val="none" w:sz="0" w:space="0" w:color="auto"/>
      </w:divBdr>
    </w:div>
    <w:div w:id="1204443612">
      <w:bodyDiv w:val="1"/>
      <w:marLeft w:val="0"/>
      <w:marRight w:val="0"/>
      <w:marTop w:val="0"/>
      <w:marBottom w:val="0"/>
      <w:divBdr>
        <w:top w:val="none" w:sz="0" w:space="0" w:color="auto"/>
        <w:left w:val="none" w:sz="0" w:space="0" w:color="auto"/>
        <w:bottom w:val="none" w:sz="0" w:space="0" w:color="auto"/>
        <w:right w:val="none" w:sz="0" w:space="0" w:color="auto"/>
      </w:divBdr>
    </w:div>
    <w:div w:id="136879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congress.org/" TargetMode="External"/><Relationship Id="rId18" Type="http://schemas.openxmlformats.org/officeDocument/2006/relationships/hyperlink" Target="http://twitpic.com/5ybqru" TargetMode="External"/><Relationship Id="rId26" Type="http://schemas.openxmlformats.org/officeDocument/2006/relationships/hyperlink" Target="http://frwebgate.access.gpo.gov/cgi-bin/getdoc.cgi?dbname=112_cong_bills&amp;docid=f:h654ih.txt.pdf" TargetMode="External"/><Relationship Id="rId39" Type="http://schemas.openxmlformats.org/officeDocument/2006/relationships/hyperlink" Target="http://frwebgate.access.gpo.gov/cgi-bin/getdoc.cgi?dbname=112_cong_bills&amp;docid=f:s1408is.txt.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hdl.loc.gov/loc.uscongress/legislation.112hr198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ivacywonk.net/2011/08/112th-privacy-legislation.php" TargetMode="External"/><Relationship Id="rId17" Type="http://schemas.openxmlformats.org/officeDocument/2006/relationships/hyperlink" Target="http://www.whitehouse.gov/" TargetMode="External"/><Relationship Id="rId25" Type="http://schemas.openxmlformats.org/officeDocument/2006/relationships/hyperlink" Target="http://frwebgate.access.gpo.gov/cgi-bin/getdoc.cgi?dbname=112_cong_bills&amp;docid=f:h653ih.txt.pdf" TargetMode="External"/><Relationship Id="rId33" Type="http://schemas.openxmlformats.org/officeDocument/2006/relationships/hyperlink" Target="http://www.gpo.gov/fdsys/pkg/BILLS-112hr2168ih/pdf/BILLS-112hr2168ih.pdf" TargetMode="External"/><Relationship Id="rId38" Type="http://schemas.openxmlformats.org/officeDocument/2006/relationships/hyperlink" Target="http://www.gpo.gov/fdsys/pkg/BILLS-112s1207is/pdf/BILLS-112s1207is.pdf" TargetMode="External"/><Relationship Id="rId2" Type="http://schemas.openxmlformats.org/officeDocument/2006/relationships/numbering" Target="numbering.xml"/><Relationship Id="rId16" Type="http://schemas.openxmlformats.org/officeDocument/2006/relationships/hyperlink" Target="http://www.gpo.gov/" TargetMode="External"/><Relationship Id="rId20" Type="http://schemas.openxmlformats.org/officeDocument/2006/relationships/footer" Target="footer1.xml"/><Relationship Id="rId29" Type="http://schemas.openxmlformats.org/officeDocument/2006/relationships/hyperlink" Target="http://www.gpo.gov/fdsys/pkg/BILLS-112hr1895ih/pdf/BILLS-112hr1895ih.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ic.org/" TargetMode="External"/><Relationship Id="rId24" Type="http://schemas.openxmlformats.org/officeDocument/2006/relationships/hyperlink" Target="http://frwebgate.access.gpo.gov/cgi-bin/getdoc.cgi?dbname=112_cong_bills&amp;docid=f:h1528ih.txt.pdf" TargetMode="External"/><Relationship Id="rId32" Type="http://schemas.openxmlformats.org/officeDocument/2006/relationships/hyperlink" Target="http://www.gpo.gov/fdsys/pkg/BILLS-112s1212is/pdf/BILLS-112s1212is.pdf" TargetMode="External"/><Relationship Id="rId37" Type="http://schemas.openxmlformats.org/officeDocument/2006/relationships/hyperlink" Target="http://www.gpo.gov/fdsys/pkg/BILLS-112hr2577ih/pdf/BILLS-112hr2577ih.pdf" TargetMode="External"/><Relationship Id="rId40" Type="http://schemas.openxmlformats.org/officeDocument/2006/relationships/hyperlink" Target="http://www.gpo.gov/fdsys/pkg/BILLS-112s1151is/pdf/BILLS-112s1151is.pdf" TargetMode="External"/><Relationship Id="rId5" Type="http://schemas.openxmlformats.org/officeDocument/2006/relationships/settings" Target="settings.xml"/><Relationship Id="rId15" Type="http://schemas.openxmlformats.org/officeDocument/2006/relationships/hyperlink" Target="http://www.educause.edu/Policy/PolicyUpdate" TargetMode="External"/><Relationship Id="rId23" Type="http://schemas.openxmlformats.org/officeDocument/2006/relationships/hyperlink" Target="http://www.gpo.gov/fdsys/pkg/BILLS-112hr611ih/pdf/BILLS-112hr611ih.pdf" TargetMode="External"/><Relationship Id="rId28" Type="http://schemas.openxmlformats.org/officeDocument/2006/relationships/hyperlink" Target="http://www.gpo.gov/fdsys/pkg/BILLS-112s913is/pdf/BILLS-112s913is.pdf" TargetMode="External"/><Relationship Id="rId36" Type="http://schemas.openxmlformats.org/officeDocument/2006/relationships/hyperlink" Target="http://frwebgate.access.gpo.gov/cgi-bin/getdoc.cgi?dbname=112_cong_bills&amp;docid=f:h1841ih.txt.pdf" TargetMode="External"/><Relationship Id="rId10" Type="http://schemas.openxmlformats.org/officeDocument/2006/relationships/hyperlink" Target="https://www.eff.org/" TargetMode="External"/><Relationship Id="rId19" Type="http://schemas.openxmlformats.org/officeDocument/2006/relationships/header" Target="header1.xml"/><Relationship Id="rId31" Type="http://schemas.openxmlformats.org/officeDocument/2006/relationships/hyperlink" Target="http://www.gpo.gov/fdsys/pkg/BILLS-112s1223is/pdf/BILLS-112s1223is.pdf" TargetMode="External"/><Relationship Id="rId4" Type="http://schemas.microsoft.com/office/2007/relationships/stylesWithEffects" Target="stylesWithEffects.xml"/><Relationship Id="rId9" Type="http://schemas.openxmlformats.org/officeDocument/2006/relationships/hyperlink" Target="http://www.cdt.org/" TargetMode="External"/><Relationship Id="rId14" Type="http://schemas.openxmlformats.org/officeDocument/2006/relationships/hyperlink" Target="http://www.privacyrights.org/" TargetMode="External"/><Relationship Id="rId22" Type="http://schemas.openxmlformats.org/officeDocument/2006/relationships/footer" Target="footer2.xml"/><Relationship Id="rId27" Type="http://schemas.openxmlformats.org/officeDocument/2006/relationships/hyperlink" Target="http://www.gpo.gov/fdsys/pkg/BILLS-112s799is/pdf/BILLS-112s799is.pdf" TargetMode="External"/><Relationship Id="rId30" Type="http://schemas.openxmlformats.org/officeDocument/2006/relationships/hyperlink" Target="http://frwebgate.access.gpo.gov/cgi-bin/getdoc.cgi?dbname=112_cong_bills&amp;docid=f:s1011is.txt.pdf" TargetMode="External"/><Relationship Id="rId35" Type="http://schemas.openxmlformats.org/officeDocument/2006/relationships/hyperlink" Target="http://www.gpo.gov/fdsys/pkg/BILLS-112hr1707ih/pdf/BILLS-112hr1707ih.pdf"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ducause.edu/blog/cheverij/ConsumerPrivacyandProtectionin/229123" TargetMode="External"/><Relationship Id="rId7" Type="http://schemas.openxmlformats.org/officeDocument/2006/relationships/hyperlink" Target="http://www.whitehouse.gov/sites/default/files/fact_sheet-administration_cybersecurity_legislative_proposal.pdf" TargetMode="External"/><Relationship Id="rId2" Type="http://schemas.openxmlformats.org/officeDocument/2006/relationships/hyperlink" Target="http://www.educause.edu/blog/cheverij/ElectronicCommunicationsPrivac/229064" TargetMode="External"/><Relationship Id="rId1" Type="http://schemas.openxmlformats.org/officeDocument/2006/relationships/hyperlink" Target="http://www.educause.edu/blog/cheverij/MobilePrivacyandtheResponsibil/228777" TargetMode="External"/><Relationship Id="rId6" Type="http://schemas.openxmlformats.org/officeDocument/2006/relationships/hyperlink" Target="http://www.ftc.gov/ogc/coppa1.htm" TargetMode="External"/><Relationship Id="rId5" Type="http://schemas.openxmlformats.org/officeDocument/2006/relationships/hyperlink" Target="http://www.privacywonk.net/2011/08/112th-privacy-legislation.php" TargetMode="External"/><Relationship Id="rId4" Type="http://schemas.openxmlformats.org/officeDocument/2006/relationships/hyperlink" Target="http://twitpic.com/5ybq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61A2-BC77-4736-BCD3-C0290284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brain bolts</Company>
  <LinksUpToDate>false</LinksUpToDate>
  <CharactersWithSpaces>15956</CharactersWithSpaces>
  <SharedDoc>false</SharedDoc>
  <HLinks>
    <vt:vector size="198" baseType="variant">
      <vt:variant>
        <vt:i4>2228261</vt:i4>
      </vt:variant>
      <vt:variant>
        <vt:i4>96</vt:i4>
      </vt:variant>
      <vt:variant>
        <vt:i4>0</vt:i4>
      </vt:variant>
      <vt:variant>
        <vt:i4>5</vt:i4>
      </vt:variant>
      <vt:variant>
        <vt:lpwstr>http://www.whitehouse.gov/</vt:lpwstr>
      </vt:variant>
      <vt:variant>
        <vt:lpwstr/>
      </vt:variant>
      <vt:variant>
        <vt:i4>3276897</vt:i4>
      </vt:variant>
      <vt:variant>
        <vt:i4>93</vt:i4>
      </vt:variant>
      <vt:variant>
        <vt:i4>0</vt:i4>
      </vt:variant>
      <vt:variant>
        <vt:i4>5</vt:i4>
      </vt:variant>
      <vt:variant>
        <vt:lpwstr>http://www.gpo.gov/</vt:lpwstr>
      </vt:variant>
      <vt:variant>
        <vt:lpwstr/>
      </vt:variant>
      <vt:variant>
        <vt:i4>5242890</vt:i4>
      </vt:variant>
      <vt:variant>
        <vt:i4>90</vt:i4>
      </vt:variant>
      <vt:variant>
        <vt:i4>0</vt:i4>
      </vt:variant>
      <vt:variant>
        <vt:i4>5</vt:i4>
      </vt:variant>
      <vt:variant>
        <vt:lpwstr>http://www.privacyrights.org/</vt:lpwstr>
      </vt:variant>
      <vt:variant>
        <vt:lpwstr/>
      </vt:variant>
      <vt:variant>
        <vt:i4>6160472</vt:i4>
      </vt:variant>
      <vt:variant>
        <vt:i4>87</vt:i4>
      </vt:variant>
      <vt:variant>
        <vt:i4>0</vt:i4>
      </vt:variant>
      <vt:variant>
        <vt:i4>5</vt:i4>
      </vt:variant>
      <vt:variant>
        <vt:lpwstr>http://www.opencongress.org/</vt:lpwstr>
      </vt:variant>
      <vt:variant>
        <vt:lpwstr/>
      </vt:variant>
      <vt:variant>
        <vt:i4>5505042</vt:i4>
      </vt:variant>
      <vt:variant>
        <vt:i4>84</vt:i4>
      </vt:variant>
      <vt:variant>
        <vt:i4>0</vt:i4>
      </vt:variant>
      <vt:variant>
        <vt:i4>5</vt:i4>
      </vt:variant>
      <vt:variant>
        <vt:lpwstr>http://epic.org/</vt:lpwstr>
      </vt:variant>
      <vt:variant>
        <vt:lpwstr/>
      </vt:variant>
      <vt:variant>
        <vt:i4>6094923</vt:i4>
      </vt:variant>
      <vt:variant>
        <vt:i4>81</vt:i4>
      </vt:variant>
      <vt:variant>
        <vt:i4>0</vt:i4>
      </vt:variant>
      <vt:variant>
        <vt:i4>5</vt:i4>
      </vt:variant>
      <vt:variant>
        <vt:lpwstr>https://www.eff.org/</vt:lpwstr>
      </vt:variant>
      <vt:variant>
        <vt:lpwstr/>
      </vt:variant>
      <vt:variant>
        <vt:i4>3407976</vt:i4>
      </vt:variant>
      <vt:variant>
        <vt:i4>78</vt:i4>
      </vt:variant>
      <vt:variant>
        <vt:i4>0</vt:i4>
      </vt:variant>
      <vt:variant>
        <vt:i4>5</vt:i4>
      </vt:variant>
      <vt:variant>
        <vt:lpwstr>http://www.cdt.org/</vt:lpwstr>
      </vt:variant>
      <vt:variant>
        <vt:lpwstr/>
      </vt:variant>
      <vt:variant>
        <vt:i4>7340085</vt:i4>
      </vt:variant>
      <vt:variant>
        <vt:i4>75</vt:i4>
      </vt:variant>
      <vt:variant>
        <vt:i4>0</vt:i4>
      </vt:variant>
      <vt:variant>
        <vt:i4>5</vt:i4>
      </vt:variant>
      <vt:variant>
        <vt:lpwstr>http://www.whitehouse.gov/sites/default/files/omb/legislative/letters/Data-Breach-Notification.pdf</vt:lpwstr>
      </vt:variant>
      <vt:variant>
        <vt:lpwstr/>
      </vt:variant>
      <vt:variant>
        <vt:i4>3866734</vt:i4>
      </vt:variant>
      <vt:variant>
        <vt:i4>72</vt:i4>
      </vt:variant>
      <vt:variant>
        <vt:i4>0</vt:i4>
      </vt:variant>
      <vt:variant>
        <vt:i4>5</vt:i4>
      </vt:variant>
      <vt:variant>
        <vt:lpwstr>http://www.gpo.gov/fdsys/pkg/BILLS-112s1151is/pdf/BILLS-112s1151is.pdf</vt:lpwstr>
      </vt:variant>
      <vt:variant>
        <vt:lpwstr/>
      </vt:variant>
      <vt:variant>
        <vt:i4>2555938</vt:i4>
      </vt:variant>
      <vt:variant>
        <vt:i4>69</vt:i4>
      </vt:variant>
      <vt:variant>
        <vt:i4>0</vt:i4>
      </vt:variant>
      <vt:variant>
        <vt:i4>5</vt:i4>
      </vt:variant>
      <vt:variant>
        <vt:lpwstr>http://frwebgate.access.gpo.gov/cgi-bin/getdoc.cgi?dbname=112_cong_bills&amp;docid=f:s1408is.txt.pdf</vt:lpwstr>
      </vt:variant>
      <vt:variant>
        <vt:lpwstr/>
      </vt:variant>
      <vt:variant>
        <vt:i4>3866734</vt:i4>
      </vt:variant>
      <vt:variant>
        <vt:i4>66</vt:i4>
      </vt:variant>
      <vt:variant>
        <vt:i4>0</vt:i4>
      </vt:variant>
      <vt:variant>
        <vt:i4>5</vt:i4>
      </vt:variant>
      <vt:variant>
        <vt:lpwstr>http://www.gpo.gov/fdsys/pkg/BILLS-112s1207is/pdf/BILLS-112s1207is.pdf</vt:lpwstr>
      </vt:variant>
      <vt:variant>
        <vt:lpwstr/>
      </vt:variant>
      <vt:variant>
        <vt:i4>4390934</vt:i4>
      </vt:variant>
      <vt:variant>
        <vt:i4>63</vt:i4>
      </vt:variant>
      <vt:variant>
        <vt:i4>0</vt:i4>
      </vt:variant>
      <vt:variant>
        <vt:i4>5</vt:i4>
      </vt:variant>
      <vt:variant>
        <vt:lpwstr>http://www.gpo.gov/fdsys/pkg/BILLS-112hr2577ih/pdf/BILLS-112hr2577ih.pdf</vt:lpwstr>
      </vt:variant>
      <vt:variant>
        <vt:lpwstr/>
      </vt:variant>
      <vt:variant>
        <vt:i4>2228262</vt:i4>
      </vt:variant>
      <vt:variant>
        <vt:i4>60</vt:i4>
      </vt:variant>
      <vt:variant>
        <vt:i4>0</vt:i4>
      </vt:variant>
      <vt:variant>
        <vt:i4>5</vt:i4>
      </vt:variant>
      <vt:variant>
        <vt:lpwstr>http://frwebgate.access.gpo.gov/cgi-bin/getdoc.cgi?dbname=112_cong_bills&amp;docid=f:h1841ih.txt.pdf</vt:lpwstr>
      </vt:variant>
      <vt:variant>
        <vt:lpwstr/>
      </vt:variant>
      <vt:variant>
        <vt:i4>4390934</vt:i4>
      </vt:variant>
      <vt:variant>
        <vt:i4>57</vt:i4>
      </vt:variant>
      <vt:variant>
        <vt:i4>0</vt:i4>
      </vt:variant>
      <vt:variant>
        <vt:i4>5</vt:i4>
      </vt:variant>
      <vt:variant>
        <vt:lpwstr>http://www.gpo.gov/fdsys/pkg/BILLS-112hr1707ih/pdf/BILLS-112hr1707ih.pdf</vt:lpwstr>
      </vt:variant>
      <vt:variant>
        <vt:lpwstr/>
      </vt:variant>
      <vt:variant>
        <vt:i4>7143480</vt:i4>
      </vt:variant>
      <vt:variant>
        <vt:i4>54</vt:i4>
      </vt:variant>
      <vt:variant>
        <vt:i4>0</vt:i4>
      </vt:variant>
      <vt:variant>
        <vt:i4>5</vt:i4>
      </vt:variant>
      <vt:variant>
        <vt:lpwstr>http://hdl.loc.gov/loc.uscongress/legislation.112hr1981</vt:lpwstr>
      </vt:variant>
      <vt:variant>
        <vt:lpwstr/>
      </vt:variant>
      <vt:variant>
        <vt:i4>4390934</vt:i4>
      </vt:variant>
      <vt:variant>
        <vt:i4>51</vt:i4>
      </vt:variant>
      <vt:variant>
        <vt:i4>0</vt:i4>
      </vt:variant>
      <vt:variant>
        <vt:i4>5</vt:i4>
      </vt:variant>
      <vt:variant>
        <vt:lpwstr>http://www.gpo.gov/fdsys/pkg/BILLS-112hr2168ih/pdf/BILLS-112hr2168ih.pdf</vt:lpwstr>
      </vt:variant>
      <vt:variant>
        <vt:lpwstr/>
      </vt:variant>
      <vt:variant>
        <vt:i4>4128874</vt:i4>
      </vt:variant>
      <vt:variant>
        <vt:i4>48</vt:i4>
      </vt:variant>
      <vt:variant>
        <vt:i4>0</vt:i4>
      </vt:variant>
      <vt:variant>
        <vt:i4>5</vt:i4>
      </vt:variant>
      <vt:variant>
        <vt:lpwstr>http://www.gpo.gov/fdsys/pkg/BILLS-112s1212is/pdf/BILLS-112s1212is.pdf</vt:lpwstr>
      </vt:variant>
      <vt:variant>
        <vt:lpwstr/>
      </vt:variant>
      <vt:variant>
        <vt:i4>3997800</vt:i4>
      </vt:variant>
      <vt:variant>
        <vt:i4>45</vt:i4>
      </vt:variant>
      <vt:variant>
        <vt:i4>0</vt:i4>
      </vt:variant>
      <vt:variant>
        <vt:i4>5</vt:i4>
      </vt:variant>
      <vt:variant>
        <vt:lpwstr>http://www.gpo.gov/fdsys/pkg/BILLS-112s1223is/pdf/BILLS-112s1223is.pdf</vt:lpwstr>
      </vt:variant>
      <vt:variant>
        <vt:lpwstr/>
      </vt:variant>
      <vt:variant>
        <vt:i4>2752547</vt:i4>
      </vt:variant>
      <vt:variant>
        <vt:i4>42</vt:i4>
      </vt:variant>
      <vt:variant>
        <vt:i4>0</vt:i4>
      </vt:variant>
      <vt:variant>
        <vt:i4>5</vt:i4>
      </vt:variant>
      <vt:variant>
        <vt:lpwstr>http://frwebgate.access.gpo.gov/cgi-bin/getdoc.cgi?dbname=112_cong_bills&amp;docid=f:s1011is.txt.pdf</vt:lpwstr>
      </vt:variant>
      <vt:variant>
        <vt:lpwstr/>
      </vt:variant>
      <vt:variant>
        <vt:i4>1769540</vt:i4>
      </vt:variant>
      <vt:variant>
        <vt:i4>39</vt:i4>
      </vt:variant>
      <vt:variant>
        <vt:i4>0</vt:i4>
      </vt:variant>
      <vt:variant>
        <vt:i4>5</vt:i4>
      </vt:variant>
      <vt:variant>
        <vt:lpwstr>http://www.ftc.gov/ogc/coppa1.htm</vt:lpwstr>
      </vt:variant>
      <vt:variant>
        <vt:lpwstr/>
      </vt:variant>
      <vt:variant>
        <vt:i4>4390934</vt:i4>
      </vt:variant>
      <vt:variant>
        <vt:i4>36</vt:i4>
      </vt:variant>
      <vt:variant>
        <vt:i4>0</vt:i4>
      </vt:variant>
      <vt:variant>
        <vt:i4>5</vt:i4>
      </vt:variant>
      <vt:variant>
        <vt:lpwstr>http://www.gpo.gov/fdsys/pkg/BILLS-112hr1895ih/pdf/BILLS-112hr1895ih.pdf</vt:lpwstr>
      </vt:variant>
      <vt:variant>
        <vt:lpwstr/>
      </vt:variant>
      <vt:variant>
        <vt:i4>4390934</vt:i4>
      </vt:variant>
      <vt:variant>
        <vt:i4>33</vt:i4>
      </vt:variant>
      <vt:variant>
        <vt:i4>0</vt:i4>
      </vt:variant>
      <vt:variant>
        <vt:i4>5</vt:i4>
      </vt:variant>
      <vt:variant>
        <vt:lpwstr>http://www.gpo.gov/fdsys/pkg/BILLS-112s913is/pdf/BILLS-112s913is.pdf</vt:lpwstr>
      </vt:variant>
      <vt:variant>
        <vt:lpwstr/>
      </vt:variant>
      <vt:variant>
        <vt:i4>4390934</vt:i4>
      </vt:variant>
      <vt:variant>
        <vt:i4>30</vt:i4>
      </vt:variant>
      <vt:variant>
        <vt:i4>0</vt:i4>
      </vt:variant>
      <vt:variant>
        <vt:i4>5</vt:i4>
      </vt:variant>
      <vt:variant>
        <vt:lpwstr>http://www.gpo.gov/fdsys/pkg/BILLS-112s799is/pdf/BILLS-112s799is.pdf</vt:lpwstr>
      </vt:variant>
      <vt:variant>
        <vt:lpwstr/>
      </vt:variant>
      <vt:variant>
        <vt:i4>1376332</vt:i4>
      </vt:variant>
      <vt:variant>
        <vt:i4>27</vt:i4>
      </vt:variant>
      <vt:variant>
        <vt:i4>0</vt:i4>
      </vt:variant>
      <vt:variant>
        <vt:i4>5</vt:i4>
      </vt:variant>
      <vt:variant>
        <vt:lpwstr>http://frwebgate.access.gpo.gov/cgi-bin/getdoc.cgi?dbname=112_cong_bills&amp;docid=f:h654ih.txt.pdf</vt:lpwstr>
      </vt:variant>
      <vt:variant>
        <vt:lpwstr/>
      </vt:variant>
      <vt:variant>
        <vt:i4>1376331</vt:i4>
      </vt:variant>
      <vt:variant>
        <vt:i4>24</vt:i4>
      </vt:variant>
      <vt:variant>
        <vt:i4>0</vt:i4>
      </vt:variant>
      <vt:variant>
        <vt:i4>5</vt:i4>
      </vt:variant>
      <vt:variant>
        <vt:lpwstr>http://frwebgate.access.gpo.gov/cgi-bin/getdoc.cgi?dbname=112_cong_bills&amp;docid=f:h653ih.txt.pdf</vt:lpwstr>
      </vt:variant>
      <vt:variant>
        <vt:lpwstr/>
      </vt:variant>
      <vt:variant>
        <vt:i4>2490400</vt:i4>
      </vt:variant>
      <vt:variant>
        <vt:i4>21</vt:i4>
      </vt:variant>
      <vt:variant>
        <vt:i4>0</vt:i4>
      </vt:variant>
      <vt:variant>
        <vt:i4>5</vt:i4>
      </vt:variant>
      <vt:variant>
        <vt:lpwstr>http://frwebgate.access.gpo.gov/cgi-bin/getdoc.cgi?dbname=112_cong_bills&amp;docid=f:h1528ih.txt.pdf</vt:lpwstr>
      </vt:variant>
      <vt:variant>
        <vt:lpwstr/>
      </vt:variant>
      <vt:variant>
        <vt:i4>8060974</vt:i4>
      </vt:variant>
      <vt:variant>
        <vt:i4>18</vt:i4>
      </vt:variant>
      <vt:variant>
        <vt:i4>0</vt:i4>
      </vt:variant>
      <vt:variant>
        <vt:i4>5</vt:i4>
      </vt:variant>
      <vt:variant>
        <vt:lpwstr>http://www.gpo.gov/fdsys/pkg/BILLS-112hr611ih/pdf/BILLS-112hr611ih.pdf</vt:lpwstr>
      </vt:variant>
      <vt:variant>
        <vt:lpwstr/>
      </vt:variant>
      <vt:variant>
        <vt:i4>5505099</vt:i4>
      </vt:variant>
      <vt:variant>
        <vt:i4>15</vt:i4>
      </vt:variant>
      <vt:variant>
        <vt:i4>0</vt:i4>
      </vt:variant>
      <vt:variant>
        <vt:i4>5</vt:i4>
      </vt:variant>
      <vt:variant>
        <vt:lpwstr>http://www.privacywonk.net/2011/08/112th-privacy-legislation.php</vt:lpwstr>
      </vt:variant>
      <vt:variant>
        <vt:lpwstr/>
      </vt:variant>
      <vt:variant>
        <vt:i4>917509</vt:i4>
      </vt:variant>
      <vt:variant>
        <vt:i4>12</vt:i4>
      </vt:variant>
      <vt:variant>
        <vt:i4>0</vt:i4>
      </vt:variant>
      <vt:variant>
        <vt:i4>5</vt:i4>
      </vt:variant>
      <vt:variant>
        <vt:lpwstr>http://twitpic.com/5ybqru</vt:lpwstr>
      </vt:variant>
      <vt:variant>
        <vt:lpwstr/>
      </vt:variant>
      <vt:variant>
        <vt:i4>2949177</vt:i4>
      </vt:variant>
      <vt:variant>
        <vt:i4>9</vt:i4>
      </vt:variant>
      <vt:variant>
        <vt:i4>0</vt:i4>
      </vt:variant>
      <vt:variant>
        <vt:i4>5</vt:i4>
      </vt:variant>
      <vt:variant>
        <vt:lpwstr>http://www.educause.edu/blog/cheverij/PersonalDataPrivacyandSecurity/232390</vt:lpwstr>
      </vt:variant>
      <vt:variant>
        <vt:lpwstr/>
      </vt:variant>
      <vt:variant>
        <vt:i4>3538981</vt:i4>
      </vt:variant>
      <vt:variant>
        <vt:i4>6</vt:i4>
      </vt:variant>
      <vt:variant>
        <vt:i4>0</vt:i4>
      </vt:variant>
      <vt:variant>
        <vt:i4>5</vt:i4>
      </vt:variant>
      <vt:variant>
        <vt:lpwstr>http://www.educause.edu/blog/cheverij/ConsumerPrivacyandProtectionin/229123</vt:lpwstr>
      </vt:variant>
      <vt:variant>
        <vt:lpwstr/>
      </vt:variant>
      <vt:variant>
        <vt:i4>3080224</vt:i4>
      </vt:variant>
      <vt:variant>
        <vt:i4>3</vt:i4>
      </vt:variant>
      <vt:variant>
        <vt:i4>0</vt:i4>
      </vt:variant>
      <vt:variant>
        <vt:i4>5</vt:i4>
      </vt:variant>
      <vt:variant>
        <vt:lpwstr>http://www.educause.edu/blog/cheverij/ElectronicCommunicationsPrivac/229064</vt:lpwstr>
      </vt:variant>
      <vt:variant>
        <vt:lpwstr/>
      </vt:variant>
      <vt:variant>
        <vt:i4>2424895</vt:i4>
      </vt:variant>
      <vt:variant>
        <vt:i4>0</vt:i4>
      </vt:variant>
      <vt:variant>
        <vt:i4>0</vt:i4>
      </vt:variant>
      <vt:variant>
        <vt:i4>5</vt:i4>
      </vt:variant>
      <vt:variant>
        <vt:lpwstr>http://www.educause.edu/blog/cheverij/MobilePrivacyandtheResponsibil/228777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boelts</dc:creator>
  <cp:lastModifiedBy>kwetzel</cp:lastModifiedBy>
  <cp:revision>10</cp:revision>
  <cp:lastPrinted>2011-08-17T21:01:00Z</cp:lastPrinted>
  <dcterms:created xsi:type="dcterms:W3CDTF">2011-08-15T16:39:00Z</dcterms:created>
  <dcterms:modified xsi:type="dcterms:W3CDTF">2011-08-17T21:02:00Z</dcterms:modified>
</cp:coreProperties>
</file>