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81658" w:rsidRDefault="00577FF9">
      <w:bookmarkStart w:id="0" w:name="h.gjdgxs" w:colFirst="0" w:colLast="0"/>
      <w:bookmarkStart w:id="1" w:name="_GoBack"/>
      <w:bookmarkEnd w:id="0"/>
      <w:bookmarkEnd w:id="1"/>
      <w:r>
        <w:rPr>
          <w:rFonts w:ascii="Georgia" w:eastAsia="Georgia" w:hAnsi="Georgia" w:cs="Georgia"/>
          <w:sz w:val="60"/>
        </w:rPr>
        <w:t xml:space="preserve">Information Security </w:t>
      </w:r>
      <w:r w:rsidR="00490CDD">
        <w:rPr>
          <w:rFonts w:ascii="Georgia" w:eastAsia="Georgia" w:hAnsi="Georgia" w:cs="Georgia"/>
          <w:sz w:val="60"/>
        </w:rPr>
        <w:t>at</w:t>
      </w:r>
      <w:r>
        <w:rPr>
          <w:rFonts w:ascii="Georgia" w:eastAsia="Georgia" w:hAnsi="Georgia" w:cs="Georgia"/>
          <w:sz w:val="60"/>
        </w:rPr>
        <w:t xml:space="preserve"> Brown </w:t>
      </w:r>
    </w:p>
    <w:p w:rsidR="00D81658" w:rsidRDefault="00D81658"/>
    <w:p w:rsidR="00D81658" w:rsidRDefault="00577FF9">
      <w:pPr>
        <w:spacing w:after="360"/>
      </w:pPr>
      <w:r>
        <w:rPr>
          <w:rFonts w:ascii="Georgia" w:eastAsia="Georgia" w:hAnsi="Georgia" w:cs="Georgia"/>
          <w:b/>
          <w:color w:val="2F2A20"/>
        </w:rPr>
        <w:t>Computing is an essential part of our day-to-day existence</w:t>
      </w:r>
      <w:r>
        <w:rPr>
          <w:rFonts w:ascii="Georgia" w:eastAsia="Georgia" w:hAnsi="Georgia" w:cs="Georgia"/>
          <w:color w:val="2F2A20"/>
        </w:rPr>
        <w:t>. </w:t>
      </w:r>
      <w:r>
        <w:rPr>
          <w:rFonts w:ascii="Georgia" w:eastAsia="Georgia" w:hAnsi="Georgia" w:cs="Georgia"/>
          <w:color w:val="2F2A20"/>
        </w:rPr>
        <w:br/>
        <w:t>Unfortunately, cyber as well as physical threats abound, putting Brown as well as personal information at risk.</w:t>
      </w:r>
      <w:r>
        <w:rPr>
          <w:rFonts w:ascii="Times New Roman" w:eastAsia="Times New Roman" w:hAnsi="Times New Roman" w:cs="Times New Roman"/>
        </w:rPr>
        <w:t xml:space="preserve"> </w:t>
      </w:r>
    </w:p>
    <w:p w:rsidR="00D81658" w:rsidRDefault="00577FF9">
      <w:pPr>
        <w:spacing w:after="360"/>
      </w:pPr>
      <w:r>
        <w:rPr>
          <w:rFonts w:ascii="Georgia" w:eastAsia="Georgia" w:hAnsi="Georgia" w:cs="Georgia"/>
          <w:b/>
          <w:color w:val="2F2A20"/>
        </w:rPr>
        <w:t xml:space="preserve">The Information Security Group (ISG) is charged with mitigating that risk </w:t>
      </w:r>
      <w:r>
        <w:rPr>
          <w:rFonts w:ascii="Georgia" w:eastAsia="Georgia" w:hAnsi="Georgia" w:cs="Georgia"/>
          <w:color w:val="2F2A20"/>
        </w:rPr>
        <w:t>through the development and maintenance of Brown's information technology security strategy, IT policies and best practices, security training and awareness programs, ongoing risk assessments and compliance tasks. ISG strives to balance </w:t>
      </w:r>
      <w:r>
        <w:rPr>
          <w:rFonts w:ascii="Georgia" w:eastAsia="Georgia" w:hAnsi="Georgia" w:cs="Georgia"/>
          <w:b/>
          <w:color w:val="2F2A20"/>
        </w:rPr>
        <w:t xml:space="preserve">confidentiality </w:t>
      </w:r>
      <w:r>
        <w:rPr>
          <w:rFonts w:ascii="Georgia" w:eastAsia="Georgia" w:hAnsi="Georgia" w:cs="Georgia"/>
          <w:color w:val="2F2A20"/>
        </w:rPr>
        <w:t>(keeping private matters private), </w:t>
      </w:r>
      <w:r>
        <w:rPr>
          <w:rFonts w:ascii="Georgia" w:eastAsia="Georgia" w:hAnsi="Georgia" w:cs="Georgia"/>
          <w:b/>
          <w:color w:val="2F2A20"/>
        </w:rPr>
        <w:t>integrity</w:t>
      </w:r>
      <w:r>
        <w:rPr>
          <w:rFonts w:ascii="Georgia" w:eastAsia="Georgia" w:hAnsi="Georgia" w:cs="Georgia"/>
          <w:color w:val="2F2A20"/>
        </w:rPr>
        <w:t> (assuring that your information is complete and accurate) and </w:t>
      </w:r>
      <w:r>
        <w:rPr>
          <w:rFonts w:ascii="Georgia" w:eastAsia="Georgia" w:hAnsi="Georgia" w:cs="Georgia"/>
          <w:b/>
          <w:color w:val="2F2A20"/>
        </w:rPr>
        <w:t>availability</w:t>
      </w:r>
      <w:r>
        <w:rPr>
          <w:rFonts w:ascii="Georgia" w:eastAsia="Georgia" w:hAnsi="Georgia" w:cs="Georgia"/>
          <w:color w:val="2F2A20"/>
        </w:rPr>
        <w:t> (having timely and reliable access to your information).</w:t>
      </w:r>
      <w:r>
        <w:rPr>
          <w:noProof/>
        </w:rPr>
        <w:drawing>
          <wp:anchor distT="0" distB="0" distL="114300" distR="114300" simplePos="0" relativeHeight="251658240" behindDoc="0" locked="0" layoutInCell="0" hidden="0" allowOverlap="0">
            <wp:simplePos x="0" y="0"/>
            <wp:positionH relativeFrom="margin">
              <wp:posOffset>4624388</wp:posOffset>
            </wp:positionH>
            <wp:positionV relativeFrom="paragraph">
              <wp:posOffset>0</wp:posOffset>
            </wp:positionV>
            <wp:extent cx="1357313" cy="1352550"/>
            <wp:effectExtent l="0" t="0" r="0" b="0"/>
            <wp:wrapSquare wrapText="bothSides" distT="0" distB="0" distL="114300" distR="114300"/>
            <wp:docPr id="1" name="image01.jpg" descr="http://www.brown.edu/information-technology/sites/brown.edu.information-technology/files/images/ISG2_Brown_twt.preview.jpg"/>
            <wp:cNvGraphicFramePr/>
            <a:graphic xmlns:a="http://schemas.openxmlformats.org/drawingml/2006/main">
              <a:graphicData uri="http://schemas.openxmlformats.org/drawingml/2006/picture">
                <pic:pic xmlns:pic="http://schemas.openxmlformats.org/drawingml/2006/picture">
                  <pic:nvPicPr>
                    <pic:cNvPr id="0" name="image01.jpg" descr="http://www.brown.edu/information-technology/sites/brown.edu.information-technology/files/images/ISG2_Brown_twt.preview.jpg"/>
                    <pic:cNvPicPr preferRelativeResize="0"/>
                  </pic:nvPicPr>
                  <pic:blipFill>
                    <a:blip r:embed="rId6"/>
                    <a:srcRect/>
                    <a:stretch>
                      <a:fillRect/>
                    </a:stretch>
                  </pic:blipFill>
                  <pic:spPr>
                    <a:xfrm>
                      <a:off x="0" y="0"/>
                      <a:ext cx="1357313" cy="1352550"/>
                    </a:xfrm>
                    <a:prstGeom prst="rect">
                      <a:avLst/>
                    </a:prstGeom>
                    <a:ln/>
                  </pic:spPr>
                </pic:pic>
              </a:graphicData>
            </a:graphic>
          </wp:anchor>
        </w:drawing>
      </w:r>
    </w:p>
    <w:p w:rsidR="00D81658" w:rsidRDefault="00577FF9">
      <w:pPr>
        <w:spacing w:after="360"/>
      </w:pPr>
      <w:r>
        <w:rPr>
          <w:rFonts w:ascii="Georgia" w:eastAsia="Georgia" w:hAnsi="Georgia" w:cs="Georgia"/>
          <w:b/>
          <w:color w:val="2F2A20"/>
        </w:rPr>
        <w:t xml:space="preserve">ISG cannot do this alone. You play a key role in protecting information. </w:t>
      </w:r>
      <w:r>
        <w:rPr>
          <w:rFonts w:ascii="Georgia" w:eastAsia="Georgia" w:hAnsi="Georgia" w:cs="Georgia"/>
          <w:color w:val="2F2A20"/>
        </w:rPr>
        <w:t>By becoming aware of possible threats and vulnerabilities, you help to protect Brown as well as yourself.</w:t>
      </w:r>
    </w:p>
    <w:p w:rsidR="00D81658" w:rsidRDefault="00577FF9">
      <w:pPr>
        <w:spacing w:after="360"/>
      </w:pPr>
      <w:r>
        <w:rPr>
          <w:rFonts w:ascii="Georgia" w:eastAsia="Georgia" w:hAnsi="Georgia" w:cs="Georgia"/>
          <w:b/>
          <w:color w:val="2F2A20"/>
        </w:rPr>
        <w:t>How to contact us:</w:t>
      </w:r>
    </w:p>
    <w:p w:rsidR="00D81658" w:rsidRDefault="00577FF9">
      <w:pPr>
        <w:numPr>
          <w:ilvl w:val="0"/>
          <w:numId w:val="3"/>
        </w:numPr>
        <w:ind w:hanging="359"/>
        <w:contextualSpacing/>
        <w:rPr>
          <w:color w:val="2F2A20"/>
        </w:rPr>
      </w:pPr>
      <w:r>
        <w:rPr>
          <w:rFonts w:ascii="Georgia" w:eastAsia="Georgia" w:hAnsi="Georgia" w:cs="Georgia"/>
          <w:color w:val="2F2A20"/>
        </w:rPr>
        <w:t>Call the Brown IT Service Center: 401-863-4357</w:t>
      </w:r>
    </w:p>
    <w:p w:rsidR="00D81658" w:rsidRDefault="00577FF9">
      <w:pPr>
        <w:numPr>
          <w:ilvl w:val="0"/>
          <w:numId w:val="3"/>
        </w:numPr>
        <w:ind w:hanging="359"/>
        <w:contextualSpacing/>
        <w:rPr>
          <w:color w:val="2F2A20"/>
        </w:rPr>
      </w:pPr>
      <w:r>
        <w:rPr>
          <w:rFonts w:ascii="Georgia" w:eastAsia="Georgia" w:hAnsi="Georgia" w:cs="Georgia"/>
          <w:color w:val="2F2A20"/>
        </w:rPr>
        <w:t>David Sherry, Chief Information Security Officer: 401-863-7266</w:t>
      </w:r>
    </w:p>
    <w:p w:rsidR="00D81658" w:rsidRDefault="00577FF9">
      <w:pPr>
        <w:numPr>
          <w:ilvl w:val="0"/>
          <w:numId w:val="3"/>
        </w:numPr>
        <w:ind w:hanging="359"/>
        <w:contextualSpacing/>
        <w:rPr>
          <w:color w:val="2F2A20"/>
        </w:rPr>
      </w:pPr>
      <w:r>
        <w:rPr>
          <w:rFonts w:ascii="Georgia" w:eastAsia="Georgia" w:hAnsi="Georgia" w:cs="Georgia"/>
          <w:color w:val="2F2A20"/>
        </w:rPr>
        <w:t>Patricia Falcon, Policy and Awareness Specialist: 401-863-9259</w:t>
      </w:r>
    </w:p>
    <w:p w:rsidR="00D81658" w:rsidRDefault="00577FF9">
      <w:pPr>
        <w:numPr>
          <w:ilvl w:val="0"/>
          <w:numId w:val="3"/>
        </w:numPr>
        <w:ind w:hanging="359"/>
        <w:contextualSpacing/>
        <w:rPr>
          <w:color w:val="2F2A20"/>
        </w:rPr>
      </w:pPr>
      <w:r>
        <w:rPr>
          <w:rFonts w:ascii="Georgia" w:eastAsia="Georgia" w:hAnsi="Georgia" w:cs="Georgia"/>
          <w:color w:val="2F2A20"/>
        </w:rPr>
        <w:t xml:space="preserve">Webpage: </w:t>
      </w:r>
      <w:hyperlink r:id="rId7">
        <w:r>
          <w:rPr>
            <w:rFonts w:ascii="Georgia" w:eastAsia="Georgia" w:hAnsi="Georgia" w:cs="Georgia"/>
            <w:color w:val="0000FF"/>
            <w:u w:val="single"/>
          </w:rPr>
          <w:t>http://www.brown.edu/information-technology/information-security</w:t>
        </w:r>
      </w:hyperlink>
      <w:hyperlink r:id="rId8"/>
    </w:p>
    <w:p w:rsidR="00D81658" w:rsidRDefault="005367BA">
      <w:hyperlink r:id="rId9"/>
    </w:p>
    <w:p w:rsidR="00D81658" w:rsidRDefault="00577FF9">
      <w:pPr>
        <w:spacing w:after="360"/>
      </w:pPr>
      <w:r>
        <w:rPr>
          <w:rFonts w:ascii="Times New Roman" w:eastAsia="Times New Roman" w:hAnsi="Times New Roman" w:cs="Times New Roman"/>
          <w:b/>
        </w:rPr>
        <w:t>Ways to keep informed:</w:t>
      </w:r>
    </w:p>
    <w:p w:rsidR="00D81658" w:rsidRDefault="00577FF9">
      <w:pPr>
        <w:numPr>
          <w:ilvl w:val="0"/>
          <w:numId w:val="2"/>
        </w:numPr>
        <w:ind w:hanging="359"/>
        <w:contextualSpacing/>
        <w:rPr>
          <w:color w:val="2F2A20"/>
        </w:rPr>
      </w:pPr>
      <w:r>
        <w:rPr>
          <w:rFonts w:ascii="Georgia" w:eastAsia="Georgia" w:hAnsi="Georgia" w:cs="Georgia"/>
          <w:color w:val="2F2A20"/>
        </w:rPr>
        <w:t>Follow us on Twitter:</w:t>
      </w:r>
    </w:p>
    <w:p w:rsidR="00D81658" w:rsidRDefault="00577FF9">
      <w:pPr>
        <w:numPr>
          <w:ilvl w:val="1"/>
          <w:numId w:val="2"/>
        </w:numPr>
        <w:ind w:hanging="359"/>
        <w:contextualSpacing/>
        <w:rPr>
          <w:color w:val="2F2A20"/>
        </w:rPr>
      </w:pPr>
      <w:r>
        <w:rPr>
          <w:rFonts w:ascii="Georgia" w:eastAsia="Georgia" w:hAnsi="Georgia" w:cs="Georgia"/>
          <w:color w:val="2F2A20"/>
        </w:rPr>
        <w:t>@</w:t>
      </w:r>
      <w:proofErr w:type="spellStart"/>
      <w:r>
        <w:rPr>
          <w:rFonts w:ascii="Georgia" w:eastAsia="Georgia" w:hAnsi="Georgia" w:cs="Georgia"/>
          <w:color w:val="2F2A20"/>
        </w:rPr>
        <w:t>CISOatBrownU</w:t>
      </w:r>
      <w:proofErr w:type="spellEnd"/>
    </w:p>
    <w:p w:rsidR="00D81658" w:rsidRDefault="00577FF9">
      <w:pPr>
        <w:numPr>
          <w:ilvl w:val="1"/>
          <w:numId w:val="2"/>
        </w:numPr>
        <w:ind w:hanging="359"/>
        <w:contextualSpacing/>
        <w:rPr>
          <w:color w:val="2F2A20"/>
        </w:rPr>
      </w:pPr>
      <w:r>
        <w:rPr>
          <w:rFonts w:ascii="Georgia" w:eastAsia="Georgia" w:hAnsi="Georgia" w:cs="Georgia"/>
          <w:color w:val="2F2A20"/>
        </w:rPr>
        <w:t>@</w:t>
      </w:r>
      <w:proofErr w:type="spellStart"/>
      <w:r>
        <w:rPr>
          <w:rFonts w:ascii="Georgia" w:eastAsia="Georgia" w:hAnsi="Georgia" w:cs="Georgia"/>
          <w:color w:val="2F2A20"/>
        </w:rPr>
        <w:t>ISGatBrown</w:t>
      </w:r>
      <w:proofErr w:type="spellEnd"/>
    </w:p>
    <w:p w:rsidR="00D81658" w:rsidRDefault="00577FF9">
      <w:pPr>
        <w:numPr>
          <w:ilvl w:val="0"/>
          <w:numId w:val="2"/>
        </w:numPr>
        <w:ind w:hanging="359"/>
        <w:contextualSpacing/>
        <w:rPr>
          <w:color w:val="2F2A20"/>
        </w:rPr>
      </w:pPr>
      <w:r>
        <w:rPr>
          <w:rFonts w:ascii="Georgia" w:eastAsia="Georgia" w:hAnsi="Georgia" w:cs="Georgia"/>
          <w:color w:val="2F2A20"/>
        </w:rPr>
        <w:t>Monthly Brown Bags</w:t>
      </w:r>
    </w:p>
    <w:p w:rsidR="00D81658" w:rsidRDefault="00577FF9">
      <w:pPr>
        <w:numPr>
          <w:ilvl w:val="0"/>
          <w:numId w:val="2"/>
        </w:numPr>
        <w:ind w:hanging="359"/>
        <w:contextualSpacing/>
        <w:rPr>
          <w:color w:val="2F2A20"/>
        </w:rPr>
      </w:pPr>
      <w:r>
        <w:rPr>
          <w:rFonts w:ascii="Georgia" w:eastAsia="Georgia" w:hAnsi="Georgia" w:cs="Georgia"/>
          <w:color w:val="2F2A20"/>
        </w:rPr>
        <w:t xml:space="preserve">ISG’s </w:t>
      </w:r>
      <w:proofErr w:type="spellStart"/>
      <w:r>
        <w:rPr>
          <w:rFonts w:ascii="Georgia" w:eastAsia="Georgia" w:hAnsi="Georgia" w:cs="Georgia"/>
          <w:i/>
          <w:color w:val="2F2A20"/>
        </w:rPr>
        <w:t>SecureIT</w:t>
      </w:r>
      <w:proofErr w:type="spellEnd"/>
      <w:r>
        <w:rPr>
          <w:rFonts w:ascii="Georgia" w:eastAsia="Georgia" w:hAnsi="Georgia" w:cs="Georgia"/>
          <w:color w:val="2F2A20"/>
        </w:rPr>
        <w:t xml:space="preserve"> newsletter</w:t>
      </w:r>
    </w:p>
    <w:p w:rsidR="00D81658" w:rsidRDefault="00577FF9">
      <w:pPr>
        <w:numPr>
          <w:ilvl w:val="0"/>
          <w:numId w:val="2"/>
        </w:numPr>
        <w:ind w:hanging="359"/>
        <w:contextualSpacing/>
        <w:rPr>
          <w:color w:val="2F2A20"/>
        </w:rPr>
      </w:pPr>
      <w:r>
        <w:rPr>
          <w:rFonts w:ascii="Georgia" w:eastAsia="Georgia" w:hAnsi="Georgia" w:cs="Georgia"/>
          <w:color w:val="2F2A20"/>
        </w:rPr>
        <w:t>Morning Mail announcements</w:t>
      </w:r>
    </w:p>
    <w:p w:rsidR="00D81658" w:rsidRDefault="00577FF9">
      <w:pPr>
        <w:numPr>
          <w:ilvl w:val="0"/>
          <w:numId w:val="2"/>
        </w:numPr>
        <w:ind w:hanging="359"/>
        <w:contextualSpacing/>
        <w:rPr>
          <w:rFonts w:ascii="Georgia" w:eastAsia="Georgia" w:hAnsi="Georgia" w:cs="Georgia"/>
          <w:color w:val="2F2A20"/>
        </w:rPr>
      </w:pPr>
      <w:r>
        <w:rPr>
          <w:rFonts w:ascii="Georgia" w:eastAsia="Georgia" w:hAnsi="Georgia" w:cs="Georgia"/>
          <w:color w:val="2F2A20"/>
        </w:rPr>
        <w:t>Movie nights with panel discussions</w:t>
      </w:r>
    </w:p>
    <w:p w:rsidR="00D81658" w:rsidRDefault="00577FF9">
      <w:pPr>
        <w:numPr>
          <w:ilvl w:val="0"/>
          <w:numId w:val="2"/>
        </w:numPr>
        <w:ind w:hanging="359"/>
        <w:contextualSpacing/>
        <w:rPr>
          <w:color w:val="2F2A20"/>
        </w:rPr>
      </w:pPr>
      <w:r>
        <w:rPr>
          <w:rFonts w:ascii="Georgia" w:eastAsia="Georgia" w:hAnsi="Georgia" w:cs="Georgia"/>
          <w:color w:val="2F2A20"/>
        </w:rPr>
        <w:t>National Cyber Security Awareness Month (October)</w:t>
      </w:r>
    </w:p>
    <w:p w:rsidR="00D81658" w:rsidRDefault="00577FF9">
      <w:pPr>
        <w:numPr>
          <w:ilvl w:val="0"/>
          <w:numId w:val="2"/>
        </w:numPr>
        <w:ind w:hanging="359"/>
        <w:contextualSpacing/>
        <w:rPr>
          <w:color w:val="2F2A20"/>
        </w:rPr>
      </w:pPr>
      <w:r>
        <w:rPr>
          <w:rFonts w:ascii="Georgia" w:eastAsia="Georgia" w:hAnsi="Georgia" w:cs="Georgia"/>
          <w:color w:val="2F2A20"/>
        </w:rPr>
        <w:t>National Data Privacy Month (January/February)</w:t>
      </w:r>
    </w:p>
    <w:p w:rsidR="00D81658" w:rsidRDefault="00577FF9">
      <w:pPr>
        <w:numPr>
          <w:ilvl w:val="0"/>
          <w:numId w:val="2"/>
        </w:numPr>
        <w:ind w:hanging="359"/>
        <w:contextualSpacing/>
        <w:rPr>
          <w:color w:val="2F2A20"/>
        </w:rPr>
      </w:pPr>
      <w:r>
        <w:rPr>
          <w:rFonts w:ascii="Georgia" w:eastAsia="Georgia" w:hAnsi="Georgia" w:cs="Georgia"/>
          <w:color w:val="2F2A20"/>
        </w:rPr>
        <w:t>Staff Development Days</w:t>
      </w:r>
    </w:p>
    <w:p w:rsidR="00D81658" w:rsidRDefault="00577FF9">
      <w:pPr>
        <w:numPr>
          <w:ilvl w:val="0"/>
          <w:numId w:val="2"/>
        </w:numPr>
        <w:ind w:hanging="359"/>
        <w:contextualSpacing/>
        <w:rPr>
          <w:color w:val="2F2A20"/>
        </w:rPr>
      </w:pPr>
      <w:r>
        <w:rPr>
          <w:rFonts w:ascii="Georgia" w:eastAsia="Georgia" w:hAnsi="Georgia" w:cs="Georgia"/>
          <w:color w:val="2F2A20"/>
        </w:rPr>
        <w:t>Request consultations or department visits</w:t>
      </w:r>
    </w:p>
    <w:p w:rsidR="00D81658" w:rsidRDefault="00D81658">
      <w:pPr>
        <w:ind w:left="720"/>
      </w:pPr>
    </w:p>
    <w:p w:rsidR="00D81658" w:rsidRDefault="00577FF9">
      <w:pPr>
        <w:spacing w:after="360"/>
      </w:pPr>
      <w:r>
        <w:rPr>
          <w:rFonts w:ascii="Times New Roman" w:eastAsia="Times New Roman" w:hAnsi="Times New Roman" w:cs="Times New Roman"/>
          <w:b/>
          <w:sz w:val="32"/>
        </w:rPr>
        <w:t>Information Security, Procurement</w:t>
      </w:r>
      <w:r w:rsidR="00490CDD">
        <w:rPr>
          <w:rFonts w:ascii="Times New Roman" w:eastAsia="Times New Roman" w:hAnsi="Times New Roman" w:cs="Times New Roman"/>
          <w:b/>
          <w:sz w:val="32"/>
        </w:rPr>
        <w:t>, and</w:t>
      </w:r>
      <w:r>
        <w:rPr>
          <w:rFonts w:ascii="Times New Roman" w:eastAsia="Times New Roman" w:hAnsi="Times New Roman" w:cs="Times New Roman"/>
          <w:b/>
          <w:sz w:val="32"/>
        </w:rPr>
        <w:t xml:space="preserve"> Purchasing</w:t>
      </w:r>
    </w:p>
    <w:p w:rsidR="00D81658" w:rsidRDefault="00577FF9">
      <w:pPr>
        <w:spacing w:after="360"/>
      </w:pPr>
      <w:r>
        <w:rPr>
          <w:rFonts w:ascii="Georgia" w:eastAsia="Georgia" w:hAnsi="Georgia" w:cs="Georgia"/>
          <w:color w:val="2F2A20"/>
        </w:rPr>
        <w:lastRenderedPageBreak/>
        <w:t xml:space="preserve">Many contracts and purchases for the university now include specifics and obligations that impact the data and information of the </w:t>
      </w:r>
      <w:r w:rsidR="00490CDD">
        <w:rPr>
          <w:rFonts w:ascii="Georgia" w:eastAsia="Georgia" w:hAnsi="Georgia" w:cs="Georgia"/>
          <w:color w:val="2F2A20"/>
        </w:rPr>
        <w:t>university</w:t>
      </w:r>
      <w:r>
        <w:rPr>
          <w:rFonts w:ascii="Georgia" w:eastAsia="Georgia" w:hAnsi="Georgia" w:cs="Georgia"/>
          <w:color w:val="2F2A20"/>
        </w:rPr>
        <w:t>. There are also laws and regulations that must be followed relative to the ownership, outsourcing, protection</w:t>
      </w:r>
      <w:r w:rsidR="00490CDD">
        <w:rPr>
          <w:rFonts w:ascii="Georgia" w:eastAsia="Georgia" w:hAnsi="Georgia" w:cs="Georgia"/>
          <w:color w:val="2F2A20"/>
        </w:rPr>
        <w:t>,</w:t>
      </w:r>
      <w:r>
        <w:rPr>
          <w:rFonts w:ascii="Georgia" w:eastAsia="Georgia" w:hAnsi="Georgia" w:cs="Georgia"/>
          <w:color w:val="2F2A20"/>
        </w:rPr>
        <w:t xml:space="preserve"> and destruction of Brown information. The Information Security Group wants to highlight some of these areas, and how we can help.</w:t>
      </w:r>
    </w:p>
    <w:p w:rsidR="00D81658" w:rsidRDefault="00577FF9">
      <w:pPr>
        <w:spacing w:after="360"/>
      </w:pPr>
      <w:r>
        <w:rPr>
          <w:rFonts w:ascii="Georgia" w:eastAsia="Georgia" w:hAnsi="Georgia" w:cs="Georgia"/>
          <w:b/>
        </w:rPr>
        <w:t>Where we can provide guidance:</w:t>
      </w:r>
    </w:p>
    <w:p w:rsidR="00D81658" w:rsidRDefault="00577FF9">
      <w:pPr>
        <w:numPr>
          <w:ilvl w:val="0"/>
          <w:numId w:val="1"/>
        </w:numPr>
        <w:ind w:hanging="359"/>
        <w:contextualSpacing/>
        <w:rPr>
          <w:color w:val="2F2A20"/>
        </w:rPr>
      </w:pPr>
      <w:r>
        <w:rPr>
          <w:rFonts w:ascii="Georgia" w:eastAsia="Georgia" w:hAnsi="Georgia" w:cs="Georgia"/>
          <w:color w:val="2F2A20"/>
        </w:rPr>
        <w:t>Contract reviews:</w:t>
      </w:r>
    </w:p>
    <w:p w:rsidR="00D81658" w:rsidRDefault="00490CDD">
      <w:pPr>
        <w:numPr>
          <w:ilvl w:val="1"/>
          <w:numId w:val="1"/>
        </w:numPr>
        <w:ind w:hanging="359"/>
        <w:contextualSpacing/>
        <w:rPr>
          <w:color w:val="2F2A20"/>
        </w:rPr>
      </w:pPr>
      <w:r>
        <w:rPr>
          <w:rFonts w:ascii="Georgia" w:eastAsia="Georgia" w:hAnsi="Georgia" w:cs="Georgia"/>
          <w:color w:val="2F2A20"/>
        </w:rPr>
        <w:t>Cloud-</w:t>
      </w:r>
      <w:r w:rsidR="00577FF9">
        <w:rPr>
          <w:rFonts w:ascii="Georgia" w:eastAsia="Georgia" w:hAnsi="Georgia" w:cs="Georgia"/>
          <w:color w:val="2F2A20"/>
        </w:rPr>
        <w:t>based offerings</w:t>
      </w:r>
    </w:p>
    <w:p w:rsidR="00D81658" w:rsidRDefault="00577FF9">
      <w:pPr>
        <w:numPr>
          <w:ilvl w:val="1"/>
          <w:numId w:val="1"/>
        </w:numPr>
        <w:ind w:hanging="359"/>
        <w:contextualSpacing/>
        <w:rPr>
          <w:rFonts w:ascii="Georgia" w:eastAsia="Georgia" w:hAnsi="Georgia" w:cs="Georgia"/>
          <w:color w:val="2F2A20"/>
        </w:rPr>
      </w:pPr>
      <w:r>
        <w:rPr>
          <w:rFonts w:ascii="Georgia" w:eastAsia="Georgia" w:hAnsi="Georgia" w:cs="Georgia"/>
          <w:color w:val="2F2A20"/>
        </w:rPr>
        <w:t>Click-through agreements</w:t>
      </w:r>
    </w:p>
    <w:p w:rsidR="00D81658" w:rsidRDefault="00577FF9">
      <w:pPr>
        <w:numPr>
          <w:ilvl w:val="1"/>
          <w:numId w:val="1"/>
        </w:numPr>
        <w:ind w:hanging="359"/>
        <w:contextualSpacing/>
        <w:rPr>
          <w:color w:val="2F2A20"/>
        </w:rPr>
      </w:pPr>
      <w:r>
        <w:rPr>
          <w:rFonts w:ascii="Georgia" w:eastAsia="Georgia" w:hAnsi="Georgia" w:cs="Georgia"/>
          <w:color w:val="2F2A20"/>
        </w:rPr>
        <w:t>Hosted services</w:t>
      </w:r>
    </w:p>
    <w:p w:rsidR="00D81658" w:rsidRDefault="00577FF9">
      <w:pPr>
        <w:numPr>
          <w:ilvl w:val="1"/>
          <w:numId w:val="1"/>
        </w:numPr>
        <w:ind w:hanging="359"/>
        <w:contextualSpacing/>
        <w:rPr>
          <w:color w:val="2F2A20"/>
        </w:rPr>
      </w:pPr>
      <w:r>
        <w:rPr>
          <w:rFonts w:ascii="Georgia" w:eastAsia="Georgia" w:hAnsi="Georgia" w:cs="Georgia"/>
          <w:color w:val="2F2A20"/>
        </w:rPr>
        <w:t>Third-party service providers</w:t>
      </w:r>
    </w:p>
    <w:p w:rsidR="00D81658" w:rsidRDefault="00577FF9">
      <w:pPr>
        <w:numPr>
          <w:ilvl w:val="1"/>
          <w:numId w:val="1"/>
        </w:numPr>
        <w:ind w:hanging="359"/>
        <w:contextualSpacing/>
        <w:rPr>
          <w:color w:val="2F2A20"/>
        </w:rPr>
      </w:pPr>
      <w:r>
        <w:rPr>
          <w:rFonts w:ascii="Georgia" w:eastAsia="Georgia" w:hAnsi="Georgia" w:cs="Georgia"/>
          <w:color w:val="2F2A20"/>
        </w:rPr>
        <w:t>Software purchases</w:t>
      </w:r>
    </w:p>
    <w:p w:rsidR="00D81658" w:rsidRDefault="00577FF9">
      <w:pPr>
        <w:numPr>
          <w:ilvl w:val="1"/>
          <w:numId w:val="1"/>
        </w:numPr>
        <w:ind w:hanging="359"/>
        <w:contextualSpacing/>
        <w:rPr>
          <w:color w:val="2F2A20"/>
        </w:rPr>
      </w:pPr>
      <w:r>
        <w:rPr>
          <w:rFonts w:ascii="Georgia" w:eastAsia="Georgia" w:hAnsi="Georgia" w:cs="Georgia"/>
          <w:color w:val="2F2A20"/>
        </w:rPr>
        <w:t>File transfers</w:t>
      </w:r>
    </w:p>
    <w:p w:rsidR="00D81658" w:rsidRDefault="00490CDD">
      <w:pPr>
        <w:numPr>
          <w:ilvl w:val="1"/>
          <w:numId w:val="1"/>
        </w:numPr>
        <w:ind w:hanging="359"/>
        <w:contextualSpacing/>
        <w:rPr>
          <w:color w:val="2F2A20"/>
        </w:rPr>
      </w:pPr>
      <w:r>
        <w:rPr>
          <w:rFonts w:ascii="Georgia" w:eastAsia="Georgia" w:hAnsi="Georgia" w:cs="Georgia"/>
          <w:color w:val="2F2A20"/>
        </w:rPr>
        <w:t>Data ownership/</w:t>
      </w:r>
      <w:r w:rsidR="00577FF9">
        <w:rPr>
          <w:rFonts w:ascii="Georgia" w:eastAsia="Georgia" w:hAnsi="Georgia" w:cs="Georgia"/>
          <w:color w:val="2F2A20"/>
        </w:rPr>
        <w:t>custody</w:t>
      </w:r>
    </w:p>
    <w:p w:rsidR="00D81658" w:rsidRDefault="00577FF9">
      <w:pPr>
        <w:numPr>
          <w:ilvl w:val="1"/>
          <w:numId w:val="1"/>
        </w:numPr>
        <w:ind w:hanging="359"/>
        <w:contextualSpacing/>
        <w:rPr>
          <w:color w:val="2F2A20"/>
        </w:rPr>
      </w:pPr>
      <w:r>
        <w:rPr>
          <w:rFonts w:ascii="Georgia" w:eastAsia="Georgia" w:hAnsi="Georgia" w:cs="Georgia"/>
          <w:color w:val="2F2A20"/>
        </w:rPr>
        <w:t>Data retrieval</w:t>
      </w:r>
    </w:p>
    <w:p w:rsidR="00D81658" w:rsidRDefault="00577FF9">
      <w:pPr>
        <w:numPr>
          <w:ilvl w:val="1"/>
          <w:numId w:val="1"/>
        </w:numPr>
        <w:ind w:hanging="359"/>
        <w:contextualSpacing/>
        <w:rPr>
          <w:color w:val="2F2A20"/>
        </w:rPr>
      </w:pPr>
      <w:r>
        <w:rPr>
          <w:rFonts w:ascii="Georgia" w:eastAsia="Georgia" w:hAnsi="Georgia" w:cs="Georgia"/>
          <w:color w:val="2F2A20"/>
        </w:rPr>
        <w:t>Contractors for disposal of equipment, shredding, scanning and off</w:t>
      </w:r>
      <w:r w:rsidR="00490CDD">
        <w:rPr>
          <w:rFonts w:ascii="Georgia" w:eastAsia="Georgia" w:hAnsi="Georgia" w:cs="Georgia"/>
          <w:color w:val="2F2A20"/>
        </w:rPr>
        <w:t>-</w:t>
      </w:r>
      <w:r>
        <w:rPr>
          <w:rFonts w:ascii="Georgia" w:eastAsia="Georgia" w:hAnsi="Georgia" w:cs="Georgia"/>
          <w:color w:val="2F2A20"/>
        </w:rPr>
        <w:t>site storage</w:t>
      </w:r>
    </w:p>
    <w:p w:rsidR="00D81658" w:rsidRDefault="00577FF9">
      <w:pPr>
        <w:numPr>
          <w:ilvl w:val="0"/>
          <w:numId w:val="1"/>
        </w:numPr>
        <w:ind w:hanging="359"/>
        <w:contextualSpacing/>
        <w:rPr>
          <w:color w:val="2F2A20"/>
        </w:rPr>
      </w:pPr>
      <w:r>
        <w:rPr>
          <w:rFonts w:ascii="Georgia" w:eastAsia="Georgia" w:hAnsi="Georgia" w:cs="Georgia"/>
          <w:color w:val="2F2A20"/>
        </w:rPr>
        <w:t>Audits:</w:t>
      </w:r>
    </w:p>
    <w:p w:rsidR="00D81658" w:rsidRDefault="00577FF9">
      <w:pPr>
        <w:numPr>
          <w:ilvl w:val="1"/>
          <w:numId w:val="1"/>
        </w:numPr>
        <w:ind w:hanging="359"/>
        <w:contextualSpacing/>
        <w:rPr>
          <w:color w:val="2F2A20"/>
        </w:rPr>
      </w:pPr>
      <w:r>
        <w:rPr>
          <w:rFonts w:ascii="Georgia" w:eastAsia="Georgia" w:hAnsi="Georgia" w:cs="Georgia"/>
          <w:color w:val="2F2A20"/>
        </w:rPr>
        <w:t>Physical site visits to contracted partners</w:t>
      </w:r>
    </w:p>
    <w:p w:rsidR="00D81658" w:rsidRDefault="00577FF9">
      <w:pPr>
        <w:numPr>
          <w:ilvl w:val="1"/>
          <w:numId w:val="1"/>
        </w:numPr>
        <w:ind w:hanging="359"/>
        <w:contextualSpacing/>
        <w:rPr>
          <w:rFonts w:ascii="Georgia" w:eastAsia="Georgia" w:hAnsi="Georgia" w:cs="Georgia"/>
          <w:color w:val="2F2A20"/>
        </w:rPr>
      </w:pPr>
      <w:r>
        <w:rPr>
          <w:rFonts w:ascii="Georgia" w:eastAsia="Georgia" w:hAnsi="Georgia" w:cs="Georgia"/>
          <w:color w:val="2F2A20"/>
        </w:rPr>
        <w:t>Review of policies and procedures relative to security and privacy</w:t>
      </w:r>
    </w:p>
    <w:p w:rsidR="00D81658" w:rsidRDefault="00577FF9">
      <w:pPr>
        <w:numPr>
          <w:ilvl w:val="1"/>
          <w:numId w:val="1"/>
        </w:numPr>
        <w:ind w:hanging="359"/>
        <w:contextualSpacing/>
        <w:rPr>
          <w:color w:val="2F2A20"/>
        </w:rPr>
      </w:pPr>
      <w:r>
        <w:rPr>
          <w:rFonts w:ascii="Georgia" w:eastAsia="Georgia" w:hAnsi="Georgia" w:cs="Georgia"/>
          <w:color w:val="2F2A20"/>
        </w:rPr>
        <w:t>Reviews of submitted security and privacy documents</w:t>
      </w:r>
    </w:p>
    <w:p w:rsidR="00D81658" w:rsidRDefault="00577FF9">
      <w:pPr>
        <w:numPr>
          <w:ilvl w:val="0"/>
          <w:numId w:val="1"/>
        </w:numPr>
        <w:ind w:hanging="359"/>
        <w:contextualSpacing/>
        <w:rPr>
          <w:color w:val="2F2A20"/>
        </w:rPr>
      </w:pPr>
      <w:r>
        <w:rPr>
          <w:rFonts w:ascii="Georgia" w:eastAsia="Georgia" w:hAnsi="Georgia" w:cs="Georgia"/>
          <w:color w:val="2F2A20"/>
        </w:rPr>
        <w:t>Compliance:</w:t>
      </w:r>
    </w:p>
    <w:p w:rsidR="00D81658" w:rsidRDefault="00577FF9">
      <w:pPr>
        <w:numPr>
          <w:ilvl w:val="1"/>
          <w:numId w:val="1"/>
        </w:numPr>
        <w:ind w:hanging="359"/>
        <w:contextualSpacing/>
        <w:rPr>
          <w:color w:val="2F2A20"/>
        </w:rPr>
      </w:pPr>
      <w:r>
        <w:rPr>
          <w:rFonts w:ascii="Georgia" w:eastAsia="Georgia" w:hAnsi="Georgia" w:cs="Georgia"/>
          <w:color w:val="2F2A20"/>
        </w:rPr>
        <w:t>National Association of Information Destruction (NAID)</w:t>
      </w:r>
    </w:p>
    <w:p w:rsidR="00D81658" w:rsidRDefault="00577FF9">
      <w:pPr>
        <w:numPr>
          <w:ilvl w:val="1"/>
          <w:numId w:val="1"/>
        </w:numPr>
        <w:ind w:hanging="359"/>
        <w:contextualSpacing/>
        <w:rPr>
          <w:color w:val="2F2A20"/>
        </w:rPr>
      </w:pPr>
      <w:r>
        <w:rPr>
          <w:rFonts w:ascii="Georgia" w:eastAsia="Georgia" w:hAnsi="Georgia" w:cs="Georgia"/>
          <w:color w:val="2F2A20"/>
        </w:rPr>
        <w:t xml:space="preserve">HIPAA: </w:t>
      </w:r>
      <w:r w:rsidR="00490CDD">
        <w:rPr>
          <w:rFonts w:ascii="Georgia" w:eastAsia="Georgia" w:hAnsi="Georgia" w:cs="Georgia"/>
          <w:color w:val="2F2A20"/>
        </w:rPr>
        <w:t>business associate agreements</w:t>
      </w:r>
    </w:p>
    <w:p w:rsidR="00D81658" w:rsidRDefault="00577FF9">
      <w:pPr>
        <w:numPr>
          <w:ilvl w:val="1"/>
          <w:numId w:val="1"/>
        </w:numPr>
        <w:ind w:hanging="359"/>
        <w:contextualSpacing/>
        <w:rPr>
          <w:color w:val="2F2A20"/>
        </w:rPr>
      </w:pPr>
      <w:r>
        <w:rPr>
          <w:rFonts w:ascii="Georgia" w:eastAsia="Georgia" w:hAnsi="Georgia" w:cs="Georgia"/>
          <w:color w:val="2F2A20"/>
        </w:rPr>
        <w:t>Disposition and destruction of IT equipment</w:t>
      </w:r>
    </w:p>
    <w:p w:rsidR="00D81658" w:rsidRDefault="00577FF9">
      <w:pPr>
        <w:numPr>
          <w:ilvl w:val="1"/>
          <w:numId w:val="1"/>
        </w:numPr>
        <w:ind w:hanging="359"/>
        <w:contextualSpacing/>
        <w:rPr>
          <w:rFonts w:ascii="Georgia" w:eastAsia="Georgia" w:hAnsi="Georgia" w:cs="Georgia"/>
          <w:color w:val="2F2A20"/>
        </w:rPr>
      </w:pPr>
      <w:r>
        <w:rPr>
          <w:rFonts w:ascii="Georgia" w:eastAsia="Georgia" w:hAnsi="Georgia" w:cs="Georgia"/>
          <w:color w:val="2F2A20"/>
        </w:rPr>
        <w:t>Media disposal</w:t>
      </w:r>
    </w:p>
    <w:p w:rsidR="00D81658" w:rsidRDefault="00577FF9">
      <w:pPr>
        <w:numPr>
          <w:ilvl w:val="0"/>
          <w:numId w:val="1"/>
        </w:numPr>
        <w:ind w:hanging="359"/>
        <w:contextualSpacing/>
        <w:rPr>
          <w:color w:val="2F2A20"/>
        </w:rPr>
      </w:pPr>
      <w:r>
        <w:rPr>
          <w:rFonts w:ascii="Georgia" w:eastAsia="Georgia" w:hAnsi="Georgia" w:cs="Georgia"/>
          <w:color w:val="2F2A20"/>
        </w:rPr>
        <w:t>Records management</w:t>
      </w:r>
    </w:p>
    <w:p w:rsidR="00D81658" w:rsidRDefault="00577FF9">
      <w:pPr>
        <w:numPr>
          <w:ilvl w:val="1"/>
          <w:numId w:val="1"/>
        </w:numPr>
        <w:ind w:hanging="359"/>
        <w:contextualSpacing/>
        <w:rPr>
          <w:color w:val="2F2A20"/>
        </w:rPr>
      </w:pPr>
      <w:r>
        <w:rPr>
          <w:rFonts w:ascii="Georgia" w:eastAsia="Georgia" w:hAnsi="Georgia" w:cs="Georgia"/>
          <w:color w:val="2F2A20"/>
        </w:rPr>
        <w:t>Destruction and storage of records</w:t>
      </w:r>
    </w:p>
    <w:p w:rsidR="00D81658" w:rsidRDefault="00577FF9">
      <w:pPr>
        <w:numPr>
          <w:ilvl w:val="1"/>
          <w:numId w:val="1"/>
        </w:numPr>
        <w:ind w:hanging="359"/>
        <w:contextualSpacing/>
        <w:rPr>
          <w:color w:val="2F2A20"/>
        </w:rPr>
      </w:pPr>
      <w:r>
        <w:rPr>
          <w:rFonts w:ascii="Georgia" w:eastAsia="Georgia" w:hAnsi="Georgia" w:cs="Georgia"/>
          <w:color w:val="2F2A20"/>
        </w:rPr>
        <w:t>Records retention</w:t>
      </w:r>
    </w:p>
    <w:p w:rsidR="00D81658" w:rsidRDefault="00577FF9">
      <w:pPr>
        <w:numPr>
          <w:ilvl w:val="0"/>
          <w:numId w:val="1"/>
        </w:numPr>
        <w:ind w:hanging="359"/>
        <w:contextualSpacing/>
        <w:rPr>
          <w:color w:val="2F2A20"/>
        </w:rPr>
      </w:pPr>
      <w:r>
        <w:rPr>
          <w:rFonts w:ascii="Georgia" w:eastAsia="Georgia" w:hAnsi="Georgia" w:cs="Georgia"/>
          <w:color w:val="2F2A20"/>
        </w:rPr>
        <w:t>Insurance</w:t>
      </w:r>
    </w:p>
    <w:p w:rsidR="00D81658" w:rsidRDefault="00577FF9">
      <w:pPr>
        <w:numPr>
          <w:ilvl w:val="1"/>
          <w:numId w:val="1"/>
        </w:numPr>
        <w:ind w:hanging="359"/>
        <w:contextualSpacing/>
        <w:rPr>
          <w:color w:val="2F2A20"/>
        </w:rPr>
      </w:pPr>
      <w:r>
        <w:rPr>
          <w:rFonts w:ascii="Georgia" w:eastAsia="Georgia" w:hAnsi="Georgia" w:cs="Georgia"/>
          <w:color w:val="2F2A20"/>
        </w:rPr>
        <w:t>Breach response</w:t>
      </w:r>
    </w:p>
    <w:p w:rsidR="00D81658" w:rsidRDefault="00490CDD">
      <w:pPr>
        <w:numPr>
          <w:ilvl w:val="1"/>
          <w:numId w:val="1"/>
        </w:numPr>
        <w:ind w:hanging="359"/>
        <w:contextualSpacing/>
        <w:rPr>
          <w:color w:val="2F2A20"/>
        </w:rPr>
      </w:pPr>
      <w:r>
        <w:rPr>
          <w:rFonts w:ascii="Georgia" w:eastAsia="Georgia" w:hAnsi="Georgia" w:cs="Georgia"/>
          <w:color w:val="2F2A20"/>
        </w:rPr>
        <w:t>Cybers</w:t>
      </w:r>
      <w:r w:rsidR="00577FF9">
        <w:rPr>
          <w:rFonts w:ascii="Georgia" w:eastAsia="Georgia" w:hAnsi="Georgia" w:cs="Georgia"/>
          <w:color w:val="2F2A20"/>
        </w:rPr>
        <w:t>ecurity insurance</w:t>
      </w:r>
    </w:p>
    <w:p w:rsidR="00D81658" w:rsidRDefault="00D81658"/>
    <w:p w:rsidR="00D81658" w:rsidRDefault="00D81658"/>
    <w:p w:rsidR="00D81658" w:rsidRDefault="00577FF9">
      <w:pPr>
        <w:spacing w:after="360"/>
      </w:pPr>
      <w:r>
        <w:rPr>
          <w:rFonts w:ascii="Georgia" w:eastAsia="Georgia" w:hAnsi="Georgia" w:cs="Georgia"/>
          <w:b/>
        </w:rPr>
        <w:t>Additional support opportunities by the ISG</w:t>
      </w:r>
      <w:r>
        <w:rPr>
          <w:rFonts w:ascii="Georgia" w:eastAsia="Georgia" w:hAnsi="Georgia" w:cs="Georgia"/>
          <w:color w:val="2F2A20"/>
          <w:sz w:val="20"/>
        </w:rPr>
        <w:t>:</w:t>
      </w:r>
    </w:p>
    <w:p w:rsidR="00D81658" w:rsidRDefault="00577FF9">
      <w:pPr>
        <w:numPr>
          <w:ilvl w:val="0"/>
          <w:numId w:val="1"/>
        </w:numPr>
        <w:ind w:hanging="359"/>
        <w:contextualSpacing/>
        <w:rPr>
          <w:color w:val="2F2A20"/>
        </w:rPr>
      </w:pPr>
      <w:r>
        <w:rPr>
          <w:rFonts w:ascii="Georgia" w:eastAsia="Georgia" w:hAnsi="Georgia" w:cs="Georgia"/>
          <w:color w:val="2F2A20"/>
        </w:rPr>
        <w:t>Staff meeting participation</w:t>
      </w:r>
    </w:p>
    <w:p w:rsidR="00D81658" w:rsidRDefault="00577FF9">
      <w:pPr>
        <w:numPr>
          <w:ilvl w:val="0"/>
          <w:numId w:val="1"/>
        </w:numPr>
        <w:ind w:hanging="359"/>
        <w:contextualSpacing/>
        <w:rPr>
          <w:rFonts w:ascii="Georgia" w:eastAsia="Georgia" w:hAnsi="Georgia" w:cs="Georgia"/>
          <w:color w:val="2F2A20"/>
        </w:rPr>
      </w:pPr>
      <w:r>
        <w:rPr>
          <w:rFonts w:ascii="Georgia" w:eastAsia="Georgia" w:hAnsi="Georgia" w:cs="Georgia"/>
          <w:color w:val="2F2A20"/>
        </w:rPr>
        <w:t>Office best practice security and/or privacy reviews</w:t>
      </w:r>
    </w:p>
    <w:p w:rsidR="00D81658" w:rsidRDefault="00577FF9">
      <w:pPr>
        <w:numPr>
          <w:ilvl w:val="0"/>
          <w:numId w:val="1"/>
        </w:numPr>
        <w:ind w:hanging="359"/>
        <w:contextualSpacing/>
        <w:rPr>
          <w:rFonts w:ascii="Georgia" w:eastAsia="Georgia" w:hAnsi="Georgia" w:cs="Georgia"/>
          <w:color w:val="2F2A20"/>
        </w:rPr>
      </w:pPr>
      <w:r>
        <w:rPr>
          <w:rFonts w:ascii="Georgia" w:eastAsia="Georgia" w:hAnsi="Georgia" w:cs="Georgia"/>
          <w:color w:val="2F2A20"/>
        </w:rPr>
        <w:t>PII discovery and remediation</w:t>
      </w:r>
    </w:p>
    <w:p w:rsidR="00D81658" w:rsidRDefault="00490CDD">
      <w:pPr>
        <w:numPr>
          <w:ilvl w:val="0"/>
          <w:numId w:val="1"/>
        </w:numPr>
        <w:ind w:hanging="359"/>
        <w:contextualSpacing/>
        <w:rPr>
          <w:rFonts w:ascii="Georgia" w:eastAsia="Georgia" w:hAnsi="Georgia" w:cs="Georgia"/>
          <w:color w:val="2F2A20"/>
        </w:rPr>
      </w:pPr>
      <w:r>
        <w:rPr>
          <w:rFonts w:ascii="Georgia" w:eastAsia="Georgia" w:hAnsi="Georgia" w:cs="Georgia"/>
          <w:color w:val="2F2A20"/>
        </w:rPr>
        <w:t>Hard-</w:t>
      </w:r>
      <w:r w:rsidR="00577FF9">
        <w:rPr>
          <w:rFonts w:ascii="Georgia" w:eastAsia="Georgia" w:hAnsi="Georgia" w:cs="Georgia"/>
          <w:color w:val="2F2A20"/>
        </w:rPr>
        <w:t>drive destruction service</w:t>
      </w:r>
    </w:p>
    <w:p w:rsidR="00D81658" w:rsidRDefault="00577FF9">
      <w:pPr>
        <w:numPr>
          <w:ilvl w:val="0"/>
          <w:numId w:val="1"/>
        </w:numPr>
        <w:ind w:hanging="359"/>
        <w:contextualSpacing/>
        <w:rPr>
          <w:rFonts w:ascii="Georgia" w:eastAsia="Georgia" w:hAnsi="Georgia" w:cs="Georgia"/>
          <w:color w:val="2F2A20"/>
        </w:rPr>
      </w:pPr>
      <w:r>
        <w:rPr>
          <w:rFonts w:ascii="Georgia" w:eastAsia="Georgia" w:hAnsi="Georgia" w:cs="Georgia"/>
          <w:color w:val="2F2A20"/>
        </w:rPr>
        <w:t>Guest speakers</w:t>
      </w:r>
    </w:p>
    <w:sectPr w:rsidR="00D81658">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97239"/>
    <w:multiLevelType w:val="multilevel"/>
    <w:tmpl w:val="A63E02D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nsid w:val="3D2B4C3E"/>
    <w:multiLevelType w:val="multilevel"/>
    <w:tmpl w:val="552C02D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nsid w:val="6519461F"/>
    <w:multiLevelType w:val="multilevel"/>
    <w:tmpl w:val="C412824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
  <w:rsids>
    <w:rsidRoot w:val="00D81658"/>
    <w:rsid w:val="003C1508"/>
    <w:rsid w:val="00490CDD"/>
    <w:rsid w:val="005367BA"/>
    <w:rsid w:val="00577FF9"/>
    <w:rsid w:val="00D816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rPr>
  </w:style>
  <w:style w:type="paragraph" w:styleId="Heading2">
    <w:name w:val="heading 2"/>
    <w:basedOn w:val="Normal"/>
    <w:next w:val="Normal"/>
    <w:pPr>
      <w:keepNext/>
      <w:keepLines/>
      <w:spacing w:before="360" w:after="80"/>
      <w:contextualSpacing/>
      <w:outlineLvl w:val="1"/>
    </w:pPr>
    <w:rPr>
      <w:b/>
      <w:sz w:val="36"/>
    </w:rPr>
  </w:style>
  <w:style w:type="paragraph" w:styleId="Heading3">
    <w:name w:val="heading 3"/>
    <w:basedOn w:val="Normal"/>
    <w:next w:val="Normal"/>
    <w:pPr>
      <w:keepNext/>
      <w:keepLines/>
      <w:spacing w:before="280" w:after="80"/>
      <w:contextualSpacing/>
      <w:outlineLvl w:val="2"/>
    </w:pPr>
    <w:rPr>
      <w:b/>
      <w:sz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rPr>
  </w:style>
  <w:style w:type="paragraph" w:styleId="Heading6">
    <w:name w:val="heading 6"/>
    <w:basedOn w:val="Normal"/>
    <w:next w:val="Normal"/>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rPr>
  </w:style>
  <w:style w:type="paragraph" w:styleId="Heading2">
    <w:name w:val="heading 2"/>
    <w:basedOn w:val="Normal"/>
    <w:next w:val="Normal"/>
    <w:pPr>
      <w:keepNext/>
      <w:keepLines/>
      <w:spacing w:before="360" w:after="80"/>
      <w:contextualSpacing/>
      <w:outlineLvl w:val="1"/>
    </w:pPr>
    <w:rPr>
      <w:b/>
      <w:sz w:val="36"/>
    </w:rPr>
  </w:style>
  <w:style w:type="paragraph" w:styleId="Heading3">
    <w:name w:val="heading 3"/>
    <w:basedOn w:val="Normal"/>
    <w:next w:val="Normal"/>
    <w:pPr>
      <w:keepNext/>
      <w:keepLines/>
      <w:spacing w:before="280" w:after="80"/>
      <w:contextualSpacing/>
      <w:outlineLvl w:val="2"/>
    </w:pPr>
    <w:rPr>
      <w:b/>
      <w:sz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rPr>
  </w:style>
  <w:style w:type="paragraph" w:styleId="Heading6">
    <w:name w:val="heading 6"/>
    <w:basedOn w:val="Normal"/>
    <w:next w:val="Normal"/>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own.edu/information-technology/information-security" TargetMode="External"/><Relationship Id="rId3" Type="http://schemas.microsoft.com/office/2007/relationships/stylesWithEffects" Target="stylesWithEffects.xml"/><Relationship Id="rId7" Type="http://schemas.openxmlformats.org/officeDocument/2006/relationships/hyperlink" Target="http://www.brown.edu/information-technology/information-securit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rown.edu/information-technology/information-secur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468</Words>
  <Characters>2670</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EDUCAUSE HEISC GRC - Security Translation - Procurement - v1.1 - 112014.docx</vt:lpstr>
    </vt:vector>
  </TitlesOfParts>
  <Company/>
  <LinksUpToDate>false</LinksUpToDate>
  <CharactersWithSpaces>3132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EDUCAUSE HEISC GRC - Security Translation - Procurement - v1.1 - 112014.docx</dc:title>
  <dc:creator>Colleen Keller</dc:creator>
  <cp:lastModifiedBy>Colleen Keller</cp:lastModifiedBy>
  <cp:revision>2</cp:revision>
  <cp:lastPrinted>2015-01-14T22:14:00Z</cp:lastPrinted>
  <dcterms:created xsi:type="dcterms:W3CDTF">2015-03-19T16:22:00Z</dcterms:created>
  <dcterms:modified xsi:type="dcterms:W3CDTF">2015-03-19T16:22:00Z</dcterms:modified>
</cp:coreProperties>
</file>