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6F4CC0E" w14:textId="77777777" w:rsidR="00082037" w:rsidRDefault="00173F4F" w:rsidP="00AB74E3">
      <w:pPr>
        <w:ind w:left="-718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Treasury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Operations</w:t>
      </w:r>
    </w:p>
    <w:p w14:paraId="5845131F" w14:textId="77777777" w:rsidR="00082037" w:rsidRDefault="00082037" w:rsidP="00AB74E3">
      <w:pPr>
        <w:ind w:left="-718"/>
      </w:pPr>
    </w:p>
    <w:p w14:paraId="6CFB6486" w14:textId="77777777" w:rsidR="00082037" w:rsidRDefault="00173F4F" w:rsidP="00AB74E3">
      <w:pPr>
        <w:ind w:left="-718"/>
      </w:pPr>
      <w:r>
        <w:rPr>
          <w:rFonts w:ascii="Times New Roman" w:eastAsia="Times New Roman" w:hAnsi="Times New Roman" w:cs="Times New Roman"/>
          <w:highlight w:val="white"/>
        </w:rPr>
        <w:t>Contact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034C67D6" w14:textId="77777777" w:rsidR="00082037" w:rsidRDefault="00173F4F" w:rsidP="00AB74E3">
      <w:pPr>
        <w:numPr>
          <w:ilvl w:val="0"/>
          <w:numId w:val="3"/>
        </w:numPr>
        <w:ind w:left="-359" w:hanging="359"/>
        <w:contextualSpacing/>
        <w:rPr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Robert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Carter,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Director,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Business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Operations</w:t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ab/>
        <w:t>202-885-2715</w:t>
      </w:r>
    </w:p>
    <w:p w14:paraId="253839A9" w14:textId="77777777" w:rsidR="00082037" w:rsidRDefault="00082037" w:rsidP="00AB74E3">
      <w:pPr>
        <w:ind w:left="-718"/>
      </w:pPr>
    </w:p>
    <w:p w14:paraId="7908D5B8" w14:textId="77777777" w:rsidR="00082037" w:rsidRDefault="00173F4F" w:rsidP="00AB74E3">
      <w:pPr>
        <w:ind w:left="-718"/>
      </w:pPr>
      <w:r>
        <w:rPr>
          <w:rFonts w:ascii="Times New Roman" w:eastAsia="Times New Roman" w:hAnsi="Times New Roman" w:cs="Times New Roman"/>
          <w:highlight w:val="white"/>
        </w:rPr>
        <w:t>The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 w:rsidR="00AB74E3">
        <w:rPr>
          <w:rFonts w:ascii="Times New Roman" w:eastAsia="Times New Roman" w:hAnsi="Times New Roman" w:cs="Times New Roman"/>
          <w:highlight w:val="white"/>
        </w:rPr>
        <w:t>Department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 w:rsidR="00AB74E3">
        <w:rPr>
          <w:rFonts w:ascii="Times New Roman" w:eastAsia="Times New Roman" w:hAnsi="Times New Roman" w:cs="Times New Roman"/>
          <w:highlight w:val="white"/>
        </w:rPr>
        <w:t>of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Treasury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Operations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within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the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Office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of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Finance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and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Treasurer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provides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cash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management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services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to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the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university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community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by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overseeing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the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university</w:t>
      </w:r>
      <w:r w:rsidR="00AB74E3">
        <w:rPr>
          <w:rFonts w:ascii="Times New Roman" w:eastAsia="Times New Roman" w:hAnsi="Times New Roman" w:cs="Times New Roman"/>
          <w:highlight w:val="white"/>
        </w:rPr>
        <w:t>'</w:t>
      </w:r>
      <w:r>
        <w:rPr>
          <w:rFonts w:ascii="Times New Roman" w:eastAsia="Times New Roman" w:hAnsi="Times New Roman" w:cs="Times New Roman"/>
          <w:highlight w:val="white"/>
        </w:rPr>
        <w:t>s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liquidity,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which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includes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initiating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electronic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payments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for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university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obligations.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The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department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assists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with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debt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management,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and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the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administration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of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credit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card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acceptance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for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goods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and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services,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including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assigning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merchant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ID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numbers.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Treasury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Operations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also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administers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the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university</w:t>
      </w:r>
      <w:r w:rsidR="00AB74E3">
        <w:rPr>
          <w:rFonts w:ascii="Times New Roman" w:eastAsia="Times New Roman" w:hAnsi="Times New Roman" w:cs="Times New Roman"/>
          <w:highlight w:val="white"/>
        </w:rPr>
        <w:t>'</w:t>
      </w:r>
      <w:r>
        <w:rPr>
          <w:rFonts w:ascii="Times New Roman" w:eastAsia="Times New Roman" w:hAnsi="Times New Roman" w:cs="Times New Roman"/>
          <w:highlight w:val="white"/>
        </w:rPr>
        <w:t>s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endowment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and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works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with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its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broker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to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manage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donor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stock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gifts.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The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department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serves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as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the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primary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liaison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between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banks,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financial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institutions,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credit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card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processors,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and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the</w:t>
      </w:r>
      <w:r w:rsidR="00C73055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university.</w:t>
      </w:r>
    </w:p>
    <w:p w14:paraId="62FBF611" w14:textId="77777777" w:rsidR="00082037" w:rsidRDefault="00082037" w:rsidP="00AB74E3">
      <w:pPr>
        <w:ind w:left="-718"/>
      </w:pPr>
    </w:p>
    <w:p w14:paraId="771BDEB0" w14:textId="77777777" w:rsidR="00082037" w:rsidRDefault="00173F4F" w:rsidP="00AB74E3">
      <w:pPr>
        <w:ind w:left="-718"/>
      </w:pPr>
      <w:r>
        <w:rPr>
          <w:rFonts w:ascii="Times New Roman" w:eastAsia="Times New Roman" w:hAnsi="Times New Roman" w:cs="Times New Roman"/>
          <w:b/>
        </w:rPr>
        <w:t>Office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of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Information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Technology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Information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Security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 w:rsidR="00AB74E3">
        <w:rPr>
          <w:rFonts w:ascii="Times New Roman" w:eastAsia="Times New Roman" w:hAnsi="Times New Roman" w:cs="Times New Roman"/>
          <w:b/>
        </w:rPr>
        <w:t>Team</w:t>
      </w:r>
    </w:p>
    <w:p w14:paraId="033AF117" w14:textId="77777777" w:rsidR="00082037" w:rsidRDefault="00082037" w:rsidP="00AB74E3">
      <w:pPr>
        <w:ind w:left="-718"/>
      </w:pPr>
    </w:p>
    <w:p w14:paraId="073FA93F" w14:textId="77777777" w:rsidR="00082037" w:rsidRDefault="00173F4F" w:rsidP="00AB74E3">
      <w:pPr>
        <w:ind w:left="-718"/>
      </w:pPr>
      <w:r>
        <w:rPr>
          <w:rFonts w:ascii="Times New Roman" w:eastAsia="Times New Roman" w:hAnsi="Times New Roman" w:cs="Times New Roman"/>
        </w:rPr>
        <w:t>Call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help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desk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to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schedule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security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consultation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202-885-3998</w:t>
      </w:r>
    </w:p>
    <w:p w14:paraId="304C779C" w14:textId="77777777" w:rsidR="00082037" w:rsidRDefault="00082037" w:rsidP="00AB74E3">
      <w:pPr>
        <w:ind w:left="-718"/>
      </w:pPr>
    </w:p>
    <w:p w14:paraId="00955C1B" w14:textId="77777777" w:rsidR="00082037" w:rsidRDefault="00173F4F" w:rsidP="00AB74E3">
      <w:pPr>
        <w:spacing w:line="360" w:lineRule="auto"/>
        <w:ind w:left="-718"/>
      </w:pPr>
      <w:r>
        <w:rPr>
          <w:rFonts w:ascii="Times New Roman" w:eastAsia="Times New Roman" w:hAnsi="Times New Roman" w:cs="Times New Roman"/>
        </w:rPr>
        <w:t>Call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direct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lines:</w:t>
      </w:r>
    </w:p>
    <w:p w14:paraId="7CFB2420" w14:textId="77777777" w:rsidR="00082037" w:rsidRDefault="00173F4F" w:rsidP="00AB74E3">
      <w:pPr>
        <w:numPr>
          <w:ilvl w:val="0"/>
          <w:numId w:val="5"/>
        </w:numPr>
        <w:spacing w:line="360" w:lineRule="auto"/>
        <w:ind w:left="-359" w:hanging="358"/>
        <w:contextualSpacing/>
      </w:pPr>
      <w:r>
        <w:rPr>
          <w:rFonts w:ascii="Times New Roman" w:eastAsia="Times New Roman" w:hAnsi="Times New Roman" w:cs="Times New Roman"/>
        </w:rPr>
        <w:t>Cathy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Hubbs,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Chief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Information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Security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Officer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202-885-3998</w:t>
      </w:r>
    </w:p>
    <w:p w14:paraId="49A5DD8B" w14:textId="77777777" w:rsidR="00082037" w:rsidRDefault="00173F4F" w:rsidP="00AB74E3">
      <w:pPr>
        <w:numPr>
          <w:ilvl w:val="0"/>
          <w:numId w:val="5"/>
        </w:numPr>
        <w:ind w:left="-359" w:hanging="358"/>
        <w:contextualSpacing/>
      </w:pPr>
      <w:bookmarkStart w:id="1" w:name="h.gjdgxs" w:colFirst="0" w:colLast="0"/>
      <w:bookmarkEnd w:id="1"/>
      <w:r>
        <w:rPr>
          <w:rFonts w:ascii="Times New Roman" w:eastAsia="Times New Roman" w:hAnsi="Times New Roman" w:cs="Times New Roman"/>
        </w:rPr>
        <w:t>Eric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Weakland,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Director,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Information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Security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202-885-2241</w:t>
      </w:r>
    </w:p>
    <w:p w14:paraId="7B30F921" w14:textId="77777777" w:rsidR="00082037" w:rsidRDefault="00082037" w:rsidP="00AB74E3">
      <w:pPr>
        <w:ind w:left="-718"/>
      </w:pPr>
    </w:p>
    <w:p w14:paraId="20D26CD0" w14:textId="77777777" w:rsidR="00082037" w:rsidRDefault="00173F4F" w:rsidP="00AB74E3">
      <w:pPr>
        <w:ind w:left="-718"/>
      </w:pPr>
      <w:r>
        <w:rPr>
          <w:rFonts w:ascii="Times New Roman" w:eastAsia="Times New Roman" w:hAnsi="Times New Roman" w:cs="Times New Roman"/>
          <w:b/>
        </w:rPr>
        <w:t>Information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Security</w:t>
      </w:r>
      <w:r w:rsidR="00C73055">
        <w:rPr>
          <w:rFonts w:ascii="Times New Roman" w:eastAsia="Times New Roman" w:hAnsi="Times New Roman" w:cs="Times New Roman"/>
          <w:b/>
        </w:rPr>
        <w:t xml:space="preserve"> Team</w:t>
      </w:r>
    </w:p>
    <w:p w14:paraId="43A52AEC" w14:textId="77777777" w:rsidR="00082037" w:rsidRDefault="00173F4F" w:rsidP="00AB74E3">
      <w:pPr>
        <w:spacing w:after="150"/>
        <w:ind w:left="-718"/>
      </w:pPr>
      <w:r>
        <w:rPr>
          <w:rFonts w:ascii="Times New Roman" w:eastAsia="Times New Roman" w:hAnsi="Times New Roman" w:cs="Times New Roman"/>
        </w:rPr>
        <w:t>OIT</w:t>
      </w:r>
      <w:r w:rsidR="00AB74E3">
        <w:rPr>
          <w:rFonts w:ascii="Times New Roman" w:eastAsia="Times New Roman" w:hAnsi="Times New Roman" w:cs="Times New Roman"/>
        </w:rPr>
        <w:t>'</w:t>
      </w:r>
      <w:r>
        <w:rPr>
          <w:rFonts w:ascii="Times New Roman" w:eastAsia="Times New Roman" w:hAnsi="Times New Roman" w:cs="Times New Roman"/>
        </w:rPr>
        <w:t>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information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security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team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supports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 w:rsidR="00AB74E3">
        <w:rPr>
          <w:rFonts w:ascii="Times New Roman" w:eastAsia="Times New Roman" w:hAnsi="Times New Roman" w:cs="Times New Roman"/>
        </w:rPr>
        <w:t>'</w:t>
      </w:r>
      <w:r>
        <w:rPr>
          <w:rFonts w:ascii="Times New Roman" w:eastAsia="Times New Roman" w:hAnsi="Times New Roman" w:cs="Times New Roman"/>
        </w:rPr>
        <w:t>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executive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leadership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community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evaluating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digital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information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assets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sources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throughout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planning,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implementation,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management,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ongoing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operation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phases.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group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translates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discovered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risks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into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business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terms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help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stakeholders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determine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whether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accept,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deter,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fix,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transfer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risks.</w:t>
      </w:r>
    </w:p>
    <w:p w14:paraId="326C84E4" w14:textId="77777777" w:rsidR="00082037" w:rsidRDefault="00173F4F" w:rsidP="00AB74E3">
      <w:pPr>
        <w:ind w:left="-718"/>
      </w:pPr>
      <w:r>
        <w:rPr>
          <w:rFonts w:ascii="Times New Roman" w:eastAsia="Times New Roman" w:hAnsi="Times New Roman" w:cs="Times New Roman"/>
        </w:rPr>
        <w:t>The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team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works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accomplish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through:</w:t>
      </w:r>
    </w:p>
    <w:p w14:paraId="0832DA8D" w14:textId="77777777" w:rsidR="00082037" w:rsidRDefault="00AB74E3" w:rsidP="00AB74E3">
      <w:pPr>
        <w:numPr>
          <w:ilvl w:val="0"/>
          <w:numId w:val="2"/>
        </w:numPr>
        <w:spacing w:before="120" w:after="120"/>
        <w:ind w:left="-359" w:hanging="358"/>
      </w:pPr>
      <w:r>
        <w:rPr>
          <w:rFonts w:ascii="Times New Roman" w:eastAsia="Times New Roman" w:hAnsi="Times New Roman" w:cs="Times New Roman"/>
        </w:rPr>
        <w:t>Ensuring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compliance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with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applicable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policies,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laws,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and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regulations</w:t>
      </w:r>
      <w:r w:rsidR="00C73055">
        <w:rPr>
          <w:rFonts w:ascii="Times New Roman" w:eastAsia="Times New Roman" w:hAnsi="Times New Roman" w:cs="Times New Roman"/>
        </w:rPr>
        <w:t xml:space="preserve"> </w:t>
      </w:r>
    </w:p>
    <w:p w14:paraId="21F6FDC9" w14:textId="77777777" w:rsidR="00082037" w:rsidRDefault="00AB74E3" w:rsidP="00AB74E3">
      <w:pPr>
        <w:numPr>
          <w:ilvl w:val="0"/>
          <w:numId w:val="2"/>
        </w:numPr>
        <w:spacing w:before="120" w:after="120"/>
        <w:ind w:left="-359" w:hanging="358"/>
      </w:pPr>
      <w:r>
        <w:rPr>
          <w:rFonts w:ascii="Times New Roman" w:eastAsia="Times New Roman" w:hAnsi="Times New Roman" w:cs="Times New Roman"/>
        </w:rPr>
        <w:t>Enforcing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university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policies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and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standards</w:t>
      </w:r>
      <w:r w:rsidR="00C73055">
        <w:rPr>
          <w:rFonts w:ascii="Times New Roman" w:eastAsia="Times New Roman" w:hAnsi="Times New Roman" w:cs="Times New Roman"/>
        </w:rPr>
        <w:t xml:space="preserve"> </w:t>
      </w:r>
    </w:p>
    <w:p w14:paraId="1B72C217" w14:textId="77777777" w:rsidR="00082037" w:rsidRDefault="00AB74E3" w:rsidP="00AB74E3">
      <w:pPr>
        <w:numPr>
          <w:ilvl w:val="0"/>
          <w:numId w:val="2"/>
        </w:numPr>
        <w:spacing w:before="120" w:after="120"/>
        <w:ind w:left="-359" w:hanging="358"/>
      </w:pPr>
      <w:r>
        <w:rPr>
          <w:rFonts w:ascii="Times New Roman" w:eastAsia="Times New Roman" w:hAnsi="Times New Roman" w:cs="Times New Roman"/>
        </w:rPr>
        <w:t>Implementing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technologies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that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increase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the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visibility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of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potential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risks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to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our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data</w:t>
      </w:r>
      <w:r w:rsidR="00C73055">
        <w:rPr>
          <w:rFonts w:ascii="Times New Roman" w:eastAsia="Times New Roman" w:hAnsi="Times New Roman" w:cs="Times New Roman"/>
        </w:rPr>
        <w:t xml:space="preserve"> </w:t>
      </w:r>
    </w:p>
    <w:p w14:paraId="1C8CBD6E" w14:textId="77777777" w:rsidR="00082037" w:rsidRDefault="00AB74E3" w:rsidP="00AB74E3">
      <w:pPr>
        <w:numPr>
          <w:ilvl w:val="0"/>
          <w:numId w:val="2"/>
        </w:numPr>
        <w:spacing w:before="120" w:after="120"/>
        <w:ind w:left="-359" w:hanging="358"/>
      </w:pPr>
      <w:r>
        <w:rPr>
          <w:rFonts w:ascii="Times New Roman" w:eastAsia="Times New Roman" w:hAnsi="Times New Roman" w:cs="Times New Roman"/>
        </w:rPr>
        <w:t>Developing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repeatable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processes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that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validate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security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in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IT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systems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and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services</w:t>
      </w:r>
      <w:r w:rsidR="00C73055">
        <w:rPr>
          <w:rFonts w:ascii="Times New Roman" w:eastAsia="Times New Roman" w:hAnsi="Times New Roman" w:cs="Times New Roman"/>
        </w:rPr>
        <w:t xml:space="preserve"> </w:t>
      </w:r>
    </w:p>
    <w:p w14:paraId="5E4BECF7" w14:textId="77777777" w:rsidR="00082037" w:rsidRDefault="00AB74E3" w:rsidP="00AB74E3">
      <w:pPr>
        <w:numPr>
          <w:ilvl w:val="0"/>
          <w:numId w:val="2"/>
        </w:numPr>
        <w:spacing w:before="120" w:after="120"/>
        <w:ind w:left="-359" w:hanging="358"/>
      </w:pPr>
      <w:r>
        <w:rPr>
          <w:rFonts w:ascii="Times New Roman" w:eastAsia="Times New Roman" w:hAnsi="Times New Roman" w:cs="Times New Roman"/>
        </w:rPr>
        <w:t>Contributing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to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awareness,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training,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and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education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programs</w:t>
      </w:r>
      <w:r w:rsidR="00C73055">
        <w:rPr>
          <w:rFonts w:ascii="Times New Roman" w:eastAsia="Times New Roman" w:hAnsi="Times New Roman" w:cs="Times New Roman"/>
        </w:rPr>
        <w:t xml:space="preserve"> </w:t>
      </w:r>
    </w:p>
    <w:p w14:paraId="21CEAEED" w14:textId="77777777" w:rsidR="00082037" w:rsidRDefault="00AB74E3" w:rsidP="00AB74E3">
      <w:pPr>
        <w:numPr>
          <w:ilvl w:val="0"/>
          <w:numId w:val="2"/>
        </w:numPr>
        <w:spacing w:before="120"/>
        <w:ind w:left="-359" w:hanging="358"/>
      </w:pPr>
      <w:r>
        <w:rPr>
          <w:rFonts w:ascii="Times New Roman" w:eastAsia="Times New Roman" w:hAnsi="Times New Roman" w:cs="Times New Roman"/>
        </w:rPr>
        <w:t>Initiating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partnerships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with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departments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to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evaluate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and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improve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their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computer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security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practices</w:t>
      </w:r>
      <w:r w:rsidR="00C73055">
        <w:rPr>
          <w:rFonts w:ascii="Times New Roman" w:eastAsia="Times New Roman" w:hAnsi="Times New Roman" w:cs="Times New Roman"/>
        </w:rPr>
        <w:t xml:space="preserve"> </w:t>
      </w:r>
    </w:p>
    <w:p w14:paraId="111982DB" w14:textId="77777777" w:rsidR="00082037" w:rsidRDefault="00C73055" w:rsidP="00AB74E3">
      <w:pPr>
        <w:numPr>
          <w:ilvl w:val="0"/>
          <w:numId w:val="2"/>
        </w:numPr>
        <w:spacing w:before="120" w:after="120"/>
        <w:ind w:left="-359" w:hanging="358"/>
      </w:pPr>
      <w:r>
        <w:rPr>
          <w:rFonts w:ascii="Times New Roman" w:eastAsia="Times New Roman" w:hAnsi="Times New Roman" w:cs="Times New Roman"/>
        </w:rPr>
        <w:t xml:space="preserve">Working </w:t>
      </w:r>
      <w:r w:rsidR="00173F4F"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partners</w:t>
      </w:r>
      <w:r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safeguard</w:t>
      </w:r>
      <w:r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technologies</w:t>
      </w:r>
      <w:r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</w:rPr>
        <w:t xml:space="preserve"> </w:t>
      </w:r>
    </w:p>
    <w:p w14:paraId="1ABDCD59" w14:textId="77777777" w:rsidR="00082037" w:rsidRDefault="00AB74E3" w:rsidP="00AB74E3">
      <w:pPr>
        <w:numPr>
          <w:ilvl w:val="0"/>
          <w:numId w:val="2"/>
        </w:numPr>
        <w:spacing w:before="120" w:after="120"/>
        <w:ind w:left="-359" w:hanging="358"/>
      </w:pPr>
      <w:r w:rsidRPr="00895B1F">
        <w:rPr>
          <w:rFonts w:ascii="Times New Roman" w:eastAsia="Times New Roman" w:hAnsi="Times New Roman" w:cs="Times New Roman"/>
        </w:rPr>
        <w:t>Applying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 w:rsidRPr="00895B1F">
        <w:rPr>
          <w:rFonts w:ascii="Times New Roman" w:eastAsia="Times New Roman" w:hAnsi="Times New Roman" w:cs="Times New Roman"/>
        </w:rPr>
        <w:t>the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 w:rsidRPr="00895B1F">
        <w:rPr>
          <w:rFonts w:ascii="Times New Roman" w:eastAsia="Times New Roman" w:hAnsi="Times New Roman" w:cs="Times New Roman"/>
        </w:rPr>
        <w:t>principles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 w:rsidRPr="00895B1F">
        <w:rPr>
          <w:rFonts w:ascii="Times New Roman" w:eastAsia="Times New Roman" w:hAnsi="Times New Roman" w:cs="Times New Roman"/>
        </w:rPr>
        <w:t>of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0D0188">
        <w:rPr>
          <w:rFonts w:ascii="Times New Roman" w:eastAsia="Times New Roman" w:hAnsi="Times New Roman" w:cs="Times New Roman"/>
        </w:rPr>
        <w:t>in-depth defense w</w:t>
      </w:r>
      <w:r w:rsidR="00173F4F" w:rsidRPr="00895B1F">
        <w:rPr>
          <w:rFonts w:ascii="Times New Roman" w:eastAsia="Times New Roman" w:hAnsi="Times New Roman" w:cs="Times New Roman"/>
        </w:rPr>
        <w:t>hen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 w:rsidRPr="00895B1F">
        <w:rPr>
          <w:rFonts w:ascii="Times New Roman" w:eastAsia="Times New Roman" w:hAnsi="Times New Roman" w:cs="Times New Roman"/>
        </w:rPr>
        <w:t>employing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 w:rsidRPr="00895B1F">
        <w:rPr>
          <w:rFonts w:ascii="Times New Roman" w:eastAsia="Times New Roman" w:hAnsi="Times New Roman" w:cs="Times New Roman"/>
        </w:rPr>
        <w:t>solutions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 w:rsidRPr="00895B1F">
        <w:rPr>
          <w:rFonts w:ascii="Times New Roman" w:eastAsia="Times New Roman" w:hAnsi="Times New Roman" w:cs="Times New Roman"/>
        </w:rPr>
        <w:t>investigating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 w:rsidRPr="00895B1F">
        <w:rPr>
          <w:rFonts w:ascii="Times New Roman" w:eastAsia="Times New Roman" w:hAnsi="Times New Roman" w:cs="Times New Roman"/>
        </w:rPr>
        <w:t>and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 w:rsidRPr="00895B1F">
        <w:rPr>
          <w:rFonts w:ascii="Times New Roman" w:eastAsia="Times New Roman" w:hAnsi="Times New Roman" w:cs="Times New Roman"/>
        </w:rPr>
        <w:t>responding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 w:rsidRPr="00895B1F">
        <w:rPr>
          <w:rFonts w:ascii="Times New Roman" w:eastAsia="Times New Roman" w:hAnsi="Times New Roman" w:cs="Times New Roman"/>
        </w:rPr>
        <w:t>to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 w:rsidRPr="00895B1F">
        <w:rPr>
          <w:rFonts w:ascii="Times New Roman" w:eastAsia="Times New Roman" w:hAnsi="Times New Roman" w:cs="Times New Roman"/>
        </w:rPr>
        <w:t>security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 w:rsidRPr="00895B1F">
        <w:rPr>
          <w:rFonts w:ascii="Times New Roman" w:eastAsia="Times New Roman" w:hAnsi="Times New Roman" w:cs="Times New Roman"/>
        </w:rPr>
        <w:t>incidents</w:t>
      </w:r>
      <w:r w:rsidR="00173F4F">
        <w:br w:type="page"/>
      </w:r>
    </w:p>
    <w:p w14:paraId="7E7B953D" w14:textId="77777777" w:rsidR="00082037" w:rsidRDefault="00AB74E3" w:rsidP="00AB74E3">
      <w:pPr>
        <w:ind w:left="-718"/>
      </w:pPr>
      <w:r>
        <w:rPr>
          <w:rFonts w:ascii="Times New Roman" w:eastAsia="Times New Roman" w:hAnsi="Times New Roman" w:cs="Times New Roman"/>
          <w:b/>
        </w:rPr>
        <w:lastRenderedPageBreak/>
        <w:t>The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 w:rsidR="00173F4F">
        <w:rPr>
          <w:rFonts w:ascii="Times New Roman" w:eastAsia="Times New Roman" w:hAnsi="Times New Roman" w:cs="Times New Roman"/>
          <w:b/>
        </w:rPr>
        <w:t>Payment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 w:rsidR="00173F4F">
        <w:rPr>
          <w:rFonts w:ascii="Times New Roman" w:eastAsia="Times New Roman" w:hAnsi="Times New Roman" w:cs="Times New Roman"/>
          <w:b/>
        </w:rPr>
        <w:t>Card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 w:rsidR="00173F4F">
        <w:rPr>
          <w:rFonts w:ascii="Times New Roman" w:eastAsia="Times New Roman" w:hAnsi="Times New Roman" w:cs="Times New Roman"/>
          <w:b/>
        </w:rPr>
        <w:t>Industry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Data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Security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Standard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(PCI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DDS)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 w:rsidR="00173F4F">
        <w:rPr>
          <w:rFonts w:ascii="Times New Roman" w:eastAsia="Times New Roman" w:hAnsi="Times New Roman" w:cs="Times New Roman"/>
          <w:b/>
        </w:rPr>
        <w:t>is…</w:t>
      </w:r>
    </w:p>
    <w:p w14:paraId="6619310E" w14:textId="77777777" w:rsidR="00082037" w:rsidRDefault="00173F4F" w:rsidP="00AB74E3">
      <w:pPr>
        <w:ind w:left="-718"/>
      </w:pPr>
      <w:r>
        <w:rPr>
          <w:rFonts w:ascii="Times New Roman" w:eastAsia="Times New Roman" w:hAnsi="Times New Roman" w:cs="Times New Roman"/>
        </w:rPr>
        <w:t>a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contractual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obligation,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industry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standard,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set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international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requirements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protecting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customer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credit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card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data.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standard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refreshed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every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years.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Compliance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PCI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DSS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version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begin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January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2015.</w:t>
      </w:r>
    </w:p>
    <w:p w14:paraId="6F7BD580" w14:textId="77777777" w:rsidR="00082037" w:rsidRDefault="00082037" w:rsidP="00AB74E3">
      <w:pPr>
        <w:ind w:left="-718"/>
      </w:pPr>
    </w:p>
    <w:p w14:paraId="7CBA9385" w14:textId="77777777" w:rsidR="00082037" w:rsidRDefault="00173F4F" w:rsidP="00AB74E3">
      <w:pPr>
        <w:ind w:left="-718"/>
      </w:pPr>
      <w:r>
        <w:rPr>
          <w:rFonts w:ascii="Times New Roman" w:eastAsia="Times New Roman" w:hAnsi="Times New Roman" w:cs="Times New Roman"/>
          <w:b/>
        </w:rPr>
        <w:t>American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University</w:t>
      </w:r>
      <w:r w:rsidR="00AB74E3">
        <w:rPr>
          <w:rFonts w:ascii="Times New Roman" w:eastAsia="Times New Roman" w:hAnsi="Times New Roman" w:cs="Times New Roman"/>
          <w:b/>
        </w:rPr>
        <w:t>'</w:t>
      </w:r>
      <w:r>
        <w:rPr>
          <w:rFonts w:ascii="Times New Roman" w:eastAsia="Times New Roman" w:hAnsi="Times New Roman" w:cs="Times New Roman"/>
          <w:b/>
        </w:rPr>
        <w:t>s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Cardholder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Data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Security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Policy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</w:rPr>
        <w:t>www.american.ed/policies)</w:t>
      </w:r>
    </w:p>
    <w:p w14:paraId="1CBA579F" w14:textId="77777777" w:rsidR="00082037" w:rsidRDefault="00173F4F" w:rsidP="00AB74E3">
      <w:pPr>
        <w:ind w:left="-718"/>
      </w:pPr>
      <w:r>
        <w:rPr>
          <w:rFonts w:ascii="Times New Roman" w:eastAsia="Times New Roman" w:hAnsi="Times New Roman" w:cs="Times New Roman"/>
        </w:rPr>
        <w:t>“This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policy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applies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American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University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faculty,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staff,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students,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organizations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handle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electronic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paper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documents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associated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credit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debit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card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receipt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transactions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accept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payments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form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credit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debit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cards.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scope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includes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credit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debit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card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activities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conducted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American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University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campuses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locations</w:t>
      </w:r>
      <w:r w:rsidR="00AB74E3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>The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Assistant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Vice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President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Treasury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terminate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credit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debit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card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collection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privileges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department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compliance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policy.”</w:t>
      </w:r>
    </w:p>
    <w:p w14:paraId="33C01D71" w14:textId="77777777" w:rsidR="00082037" w:rsidRDefault="00082037" w:rsidP="00AB74E3">
      <w:pPr>
        <w:ind w:left="-718"/>
      </w:pPr>
    </w:p>
    <w:p w14:paraId="6C36581B" w14:textId="77777777" w:rsidR="00082037" w:rsidRDefault="00173F4F" w:rsidP="00AB74E3">
      <w:pPr>
        <w:ind w:left="-718"/>
      </w:pPr>
      <w:r>
        <w:rPr>
          <w:rFonts w:ascii="Times New Roman" w:eastAsia="Times New Roman" w:hAnsi="Times New Roman" w:cs="Times New Roman"/>
          <w:b/>
        </w:rPr>
        <w:t>What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 w:rsidR="00AB74E3">
        <w:rPr>
          <w:rFonts w:ascii="Times New Roman" w:eastAsia="Times New Roman" w:hAnsi="Times New Roman" w:cs="Times New Roman"/>
          <w:b/>
        </w:rPr>
        <w:t>Does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Treasury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Operations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 w:rsidR="00AB74E3">
        <w:rPr>
          <w:rFonts w:ascii="Times New Roman" w:eastAsia="Times New Roman" w:hAnsi="Times New Roman" w:cs="Times New Roman"/>
          <w:b/>
        </w:rPr>
        <w:t>Do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to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 w:rsidR="00AB74E3">
        <w:rPr>
          <w:rFonts w:ascii="Times New Roman" w:eastAsia="Times New Roman" w:hAnsi="Times New Roman" w:cs="Times New Roman"/>
          <w:b/>
        </w:rPr>
        <w:t>Assist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with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PCI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 w:rsidR="00AB74E3">
        <w:rPr>
          <w:rFonts w:ascii="Times New Roman" w:eastAsia="Times New Roman" w:hAnsi="Times New Roman" w:cs="Times New Roman"/>
          <w:b/>
        </w:rPr>
        <w:t>Compliance</w:t>
      </w:r>
      <w:r>
        <w:rPr>
          <w:rFonts w:ascii="Times New Roman" w:eastAsia="Times New Roman" w:hAnsi="Times New Roman" w:cs="Times New Roman"/>
          <w:b/>
        </w:rPr>
        <w:t>?</w:t>
      </w:r>
    </w:p>
    <w:p w14:paraId="7BDEFEC3" w14:textId="77777777" w:rsidR="00082037" w:rsidRDefault="00AB74E3" w:rsidP="00AB74E3">
      <w:pPr>
        <w:numPr>
          <w:ilvl w:val="0"/>
          <w:numId w:val="1"/>
        </w:numPr>
        <w:spacing w:line="276" w:lineRule="auto"/>
        <w:ind w:left="-359" w:hanging="358"/>
        <w:contextualSpacing/>
      </w:pPr>
      <w:r>
        <w:rPr>
          <w:rFonts w:ascii="Times New Roman" w:eastAsia="Times New Roman" w:hAnsi="Times New Roman" w:cs="Times New Roman"/>
        </w:rPr>
        <w:t>Acts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 w:rsidR="00173F4F">
        <w:rPr>
          <w:rFonts w:ascii="Times New Roman" w:eastAsia="Times New Roman" w:hAnsi="Times New Roman" w:cs="Times New Roman"/>
        </w:rPr>
        <w:t>rimary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point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of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contact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for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campus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questions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relating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to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credit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card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processin</w:t>
      </w:r>
      <w:r>
        <w:rPr>
          <w:rFonts w:ascii="Times New Roman" w:eastAsia="Times New Roman" w:hAnsi="Times New Roman" w:cs="Times New Roman"/>
        </w:rPr>
        <w:t>g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securing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cardholder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</w:p>
    <w:p w14:paraId="34E081E4" w14:textId="77777777" w:rsidR="00082037" w:rsidRDefault="00173F4F" w:rsidP="00AB74E3">
      <w:pPr>
        <w:numPr>
          <w:ilvl w:val="0"/>
          <w:numId w:val="1"/>
        </w:numPr>
        <w:spacing w:line="276" w:lineRule="auto"/>
        <w:ind w:left="-359" w:hanging="358"/>
        <w:contextualSpacing/>
      </w:pPr>
      <w:r>
        <w:rPr>
          <w:rFonts w:ascii="Times New Roman" w:eastAsia="Times New Roman" w:hAnsi="Times New Roman" w:cs="Times New Roman"/>
        </w:rPr>
        <w:t>Reviews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requests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assigns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merchant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IDs</w:t>
      </w:r>
    </w:p>
    <w:p w14:paraId="23E3D5D5" w14:textId="77777777" w:rsidR="00082037" w:rsidRDefault="00173F4F" w:rsidP="00AB74E3">
      <w:pPr>
        <w:numPr>
          <w:ilvl w:val="0"/>
          <w:numId w:val="1"/>
        </w:numPr>
        <w:spacing w:line="276" w:lineRule="auto"/>
        <w:ind w:left="-359" w:hanging="358"/>
        <w:contextualSpacing/>
      </w:pPr>
      <w:r>
        <w:rPr>
          <w:rFonts w:ascii="Times New Roman" w:eastAsia="Times New Roman" w:hAnsi="Times New Roman" w:cs="Times New Roman"/>
        </w:rPr>
        <w:t>Ensures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campus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merchants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the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Cardholder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Security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Policy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sig</w:t>
      </w:r>
      <w:r w:rsidR="00AB74E3">
        <w:rPr>
          <w:rFonts w:ascii="Times New Roman" w:eastAsia="Times New Roman" w:hAnsi="Times New Roman" w:cs="Times New Roman"/>
        </w:rPr>
        <w:t>n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the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confidentiality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agreement</w:t>
      </w:r>
    </w:p>
    <w:p w14:paraId="768F0339" w14:textId="77777777" w:rsidR="00082037" w:rsidRDefault="00F10521" w:rsidP="00AB74E3">
      <w:pPr>
        <w:numPr>
          <w:ilvl w:val="0"/>
          <w:numId w:val="1"/>
        </w:numPr>
        <w:spacing w:line="276" w:lineRule="auto"/>
        <w:ind w:left="-359" w:hanging="358"/>
        <w:contextualSpacing/>
      </w:pPr>
      <w:r>
        <w:rPr>
          <w:rFonts w:ascii="Times New Roman" w:eastAsia="Times New Roman" w:hAnsi="Times New Roman" w:cs="Times New Roman"/>
        </w:rPr>
        <w:t>Provides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 w:rsidR="00173F4F">
        <w:rPr>
          <w:rFonts w:ascii="Times New Roman" w:eastAsia="Times New Roman" w:hAnsi="Times New Roman" w:cs="Times New Roman"/>
        </w:rPr>
        <w:t>going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173F4F">
        <w:rPr>
          <w:rFonts w:ascii="Times New Roman" w:eastAsia="Times New Roman" w:hAnsi="Times New Roman" w:cs="Times New Roman"/>
        </w:rPr>
        <w:t>traini</w:t>
      </w:r>
      <w:r w:rsidR="00AB74E3">
        <w:rPr>
          <w:rFonts w:ascii="Times New Roman" w:eastAsia="Times New Roman" w:hAnsi="Times New Roman" w:cs="Times New Roman"/>
        </w:rPr>
        <w:t>ng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for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cardholder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data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security</w:t>
      </w:r>
    </w:p>
    <w:p w14:paraId="677BA069" w14:textId="77777777" w:rsidR="00082037" w:rsidRDefault="00173F4F" w:rsidP="00AB74E3">
      <w:pPr>
        <w:numPr>
          <w:ilvl w:val="0"/>
          <w:numId w:val="1"/>
        </w:numPr>
        <w:spacing w:line="276" w:lineRule="auto"/>
        <w:ind w:left="-359" w:hanging="358"/>
        <w:contextualSpacing/>
      </w:pPr>
      <w:r>
        <w:rPr>
          <w:rFonts w:ascii="Times New Roman" w:eastAsia="Times New Roman" w:hAnsi="Times New Roman" w:cs="Times New Roman"/>
        </w:rPr>
        <w:t>Manages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relationship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 w:rsidR="00AB74E3">
        <w:rPr>
          <w:rFonts w:ascii="Times New Roman" w:eastAsia="Times New Roman" w:hAnsi="Times New Roman" w:cs="Times New Roman"/>
        </w:rPr>
        <w:t>'</w:t>
      </w:r>
      <w:r>
        <w:rPr>
          <w:rFonts w:ascii="Times New Roman" w:eastAsia="Times New Roman" w:hAnsi="Times New Roman" w:cs="Times New Roman"/>
        </w:rPr>
        <w:t>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processor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ACI/Official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Payments</w:t>
      </w:r>
    </w:p>
    <w:p w14:paraId="0CC5BBFB" w14:textId="77777777" w:rsidR="00082037" w:rsidRDefault="00173F4F" w:rsidP="00AB74E3">
      <w:pPr>
        <w:numPr>
          <w:ilvl w:val="0"/>
          <w:numId w:val="1"/>
        </w:numPr>
        <w:spacing w:line="276" w:lineRule="auto"/>
        <w:ind w:left="-359" w:hanging="358"/>
        <w:contextualSpacing/>
      </w:pPr>
      <w:r>
        <w:rPr>
          <w:rFonts w:ascii="Times New Roman" w:eastAsia="Times New Roman" w:hAnsi="Times New Roman" w:cs="Times New Roman"/>
        </w:rPr>
        <w:t>Assists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purchase,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installation,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maintenance,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replacement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hardware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devices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used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for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card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data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processing</w:t>
      </w:r>
    </w:p>
    <w:p w14:paraId="18C94BE0" w14:textId="77777777" w:rsidR="00082037" w:rsidRDefault="00173F4F" w:rsidP="00AB74E3">
      <w:pPr>
        <w:numPr>
          <w:ilvl w:val="0"/>
          <w:numId w:val="1"/>
        </w:numPr>
        <w:spacing w:line="276" w:lineRule="auto"/>
        <w:ind w:left="-359" w:hanging="358"/>
        <w:contextualSpacing/>
      </w:pPr>
      <w:r>
        <w:rPr>
          <w:rFonts w:ascii="Times New Roman" w:eastAsia="Times New Roman" w:hAnsi="Times New Roman" w:cs="Times New Roman"/>
        </w:rPr>
        <w:t>Coordinates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collection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answers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self</w:t>
      </w:r>
      <w:r w:rsidR="00AB74E3">
        <w:rPr>
          <w:rFonts w:ascii="Times New Roman" w:eastAsia="Times New Roman" w:hAnsi="Times New Roman" w:cs="Times New Roman"/>
        </w:rPr>
        <w:t>-assessment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questionnaire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(SAQ)</w:t>
      </w:r>
    </w:p>
    <w:p w14:paraId="7D7092FC" w14:textId="77777777" w:rsidR="00082037" w:rsidRDefault="00173F4F" w:rsidP="00AB74E3">
      <w:pPr>
        <w:numPr>
          <w:ilvl w:val="0"/>
          <w:numId w:val="1"/>
        </w:numPr>
        <w:ind w:left="-359" w:hanging="358"/>
        <w:contextualSpacing/>
      </w:pPr>
      <w:r w:rsidRPr="00AB74E3">
        <w:rPr>
          <w:rFonts w:ascii="Times New Roman" w:eastAsia="Times New Roman" w:hAnsi="Times New Roman" w:cs="Times New Roman"/>
        </w:rPr>
        <w:t>Contacts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AU</w:t>
      </w:r>
      <w:r w:rsidR="00AB74E3" w:rsidRPr="00AB74E3">
        <w:rPr>
          <w:rFonts w:ascii="Times New Roman" w:eastAsia="Times New Roman" w:hAnsi="Times New Roman" w:cs="Times New Roman"/>
        </w:rPr>
        <w:t>'</w:t>
      </w:r>
      <w:r w:rsidRPr="00AB74E3">
        <w:rPr>
          <w:rFonts w:ascii="Times New Roman" w:eastAsia="Times New Roman" w:hAnsi="Times New Roman" w:cs="Times New Roman"/>
        </w:rPr>
        <w:t>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 w:rsidRPr="00AB74E3">
        <w:rPr>
          <w:rFonts w:ascii="Times New Roman" w:eastAsia="Times New Roman" w:hAnsi="Times New Roman" w:cs="Times New Roman"/>
        </w:rPr>
        <w:t>quality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 w:rsidRPr="00AB74E3">
        <w:rPr>
          <w:rFonts w:ascii="Times New Roman" w:eastAsia="Times New Roman" w:hAnsi="Times New Roman" w:cs="Times New Roman"/>
        </w:rPr>
        <w:t>security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 w:rsidRPr="00AB74E3">
        <w:rPr>
          <w:rFonts w:ascii="Times New Roman" w:eastAsia="Times New Roman" w:hAnsi="Times New Roman" w:cs="Times New Roman"/>
        </w:rPr>
        <w:t>assessor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(QSA)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for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assistance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with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translations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of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 w:rsidRPr="00AB74E3">
        <w:rPr>
          <w:rFonts w:ascii="Times New Roman" w:eastAsia="Times New Roman" w:hAnsi="Times New Roman" w:cs="Times New Roman"/>
        </w:rPr>
        <w:t>PCI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 w:rsidRPr="00AB74E3">
        <w:rPr>
          <w:rFonts w:ascii="Times New Roman" w:eastAsia="Times New Roman" w:hAnsi="Times New Roman" w:cs="Times New Roman"/>
        </w:rPr>
        <w:t>DSS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and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its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specific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applications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to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American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University</w:t>
      </w:r>
      <w:r w:rsidR="00AB74E3" w:rsidRPr="00AB74E3">
        <w:rPr>
          <w:rFonts w:ascii="Times New Roman" w:eastAsia="Times New Roman" w:hAnsi="Times New Roman" w:cs="Times New Roman"/>
        </w:rPr>
        <w:t>'</w:t>
      </w:r>
      <w:r w:rsidRPr="00AB74E3">
        <w:rPr>
          <w:rFonts w:ascii="Times New Roman" w:eastAsia="Times New Roman" w:hAnsi="Times New Roman" w:cs="Times New Roman"/>
        </w:rPr>
        <w:t>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environment,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including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contractual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language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required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fo</w:t>
      </w:r>
      <w:r w:rsidR="00AB74E3">
        <w:rPr>
          <w:rFonts w:ascii="Times New Roman" w:eastAsia="Times New Roman" w:hAnsi="Times New Roman" w:cs="Times New Roman"/>
        </w:rPr>
        <w:t>r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third-party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service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providers</w:t>
      </w:r>
    </w:p>
    <w:p w14:paraId="62C3B9BE" w14:textId="77777777" w:rsidR="00082037" w:rsidRDefault="00082037" w:rsidP="00AB74E3"/>
    <w:p w14:paraId="09B992F5" w14:textId="77777777" w:rsidR="00082037" w:rsidRDefault="00173F4F" w:rsidP="00AB74E3">
      <w:pPr>
        <w:ind w:left="-718"/>
      </w:pPr>
      <w:r>
        <w:rPr>
          <w:rFonts w:ascii="Times New Roman" w:eastAsia="Times New Roman" w:hAnsi="Times New Roman" w:cs="Times New Roman"/>
          <w:b/>
        </w:rPr>
        <w:t>What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 w:rsidR="00AB74E3">
        <w:rPr>
          <w:rFonts w:ascii="Times New Roman" w:eastAsia="Times New Roman" w:hAnsi="Times New Roman" w:cs="Times New Roman"/>
          <w:b/>
        </w:rPr>
        <w:t>Does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OIT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Information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Security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 w:rsidR="00AB74E3">
        <w:rPr>
          <w:rFonts w:ascii="Times New Roman" w:eastAsia="Times New Roman" w:hAnsi="Times New Roman" w:cs="Times New Roman"/>
          <w:b/>
        </w:rPr>
        <w:t>Do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to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 w:rsidR="00AB74E3">
        <w:rPr>
          <w:rFonts w:ascii="Times New Roman" w:eastAsia="Times New Roman" w:hAnsi="Times New Roman" w:cs="Times New Roman"/>
          <w:b/>
        </w:rPr>
        <w:t>Assist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with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PCI</w:t>
      </w:r>
      <w:r w:rsidR="00C73055">
        <w:rPr>
          <w:rFonts w:ascii="Times New Roman" w:eastAsia="Times New Roman" w:hAnsi="Times New Roman" w:cs="Times New Roman"/>
          <w:b/>
        </w:rPr>
        <w:t xml:space="preserve"> </w:t>
      </w:r>
      <w:r w:rsidR="00AB74E3">
        <w:rPr>
          <w:rFonts w:ascii="Times New Roman" w:eastAsia="Times New Roman" w:hAnsi="Times New Roman" w:cs="Times New Roman"/>
          <w:b/>
        </w:rPr>
        <w:t>Compliance</w:t>
      </w:r>
      <w:r>
        <w:rPr>
          <w:rFonts w:ascii="Times New Roman" w:eastAsia="Times New Roman" w:hAnsi="Times New Roman" w:cs="Times New Roman"/>
          <w:b/>
        </w:rPr>
        <w:t>?</w:t>
      </w:r>
    </w:p>
    <w:p w14:paraId="2F4767D1" w14:textId="77777777" w:rsidR="00082037" w:rsidRDefault="00173F4F" w:rsidP="00AB74E3">
      <w:pPr>
        <w:numPr>
          <w:ilvl w:val="0"/>
          <w:numId w:val="4"/>
        </w:numPr>
        <w:ind w:left="-359" w:hanging="358"/>
        <w:contextualSpacing/>
      </w:pPr>
      <w:r>
        <w:rPr>
          <w:rFonts w:ascii="Times New Roman" w:eastAsia="Times New Roman" w:hAnsi="Times New Roman" w:cs="Times New Roman"/>
        </w:rPr>
        <w:t>Partners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Treasury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Operations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understan</w:t>
      </w:r>
      <w:r w:rsidR="00AB74E3">
        <w:rPr>
          <w:rFonts w:ascii="Times New Roman" w:eastAsia="Times New Roman" w:hAnsi="Times New Roman" w:cs="Times New Roman"/>
        </w:rPr>
        <w:t>ding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of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technology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requirements</w:t>
      </w:r>
    </w:p>
    <w:p w14:paraId="61669A36" w14:textId="77777777" w:rsidR="00082037" w:rsidRDefault="00173F4F" w:rsidP="00AB74E3">
      <w:pPr>
        <w:numPr>
          <w:ilvl w:val="0"/>
          <w:numId w:val="4"/>
        </w:numPr>
        <w:ind w:left="-359" w:hanging="358"/>
        <w:contextualSpacing/>
      </w:pPr>
      <w:r w:rsidRPr="00AB74E3">
        <w:rPr>
          <w:rFonts w:ascii="Times New Roman" w:eastAsia="Times New Roman" w:hAnsi="Times New Roman" w:cs="Times New Roman"/>
        </w:rPr>
        <w:t>Assists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campus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partners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and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their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technology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vendors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to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determine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compliance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requirements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to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protect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PCI-covered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data</w:t>
      </w:r>
    </w:p>
    <w:p w14:paraId="3836E8ED" w14:textId="77777777" w:rsidR="00082037" w:rsidRDefault="00173F4F" w:rsidP="00AB74E3">
      <w:pPr>
        <w:numPr>
          <w:ilvl w:val="0"/>
          <w:numId w:val="4"/>
        </w:numPr>
        <w:ind w:left="-359" w:hanging="358"/>
        <w:contextualSpacing/>
      </w:pPr>
      <w:r>
        <w:rPr>
          <w:rFonts w:ascii="Times New Roman" w:eastAsia="Times New Roman" w:hAnsi="Times New Roman" w:cs="Times New Roman"/>
        </w:rPr>
        <w:t>Partners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creation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delivery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security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awareness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materials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and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events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as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needed</w:t>
      </w:r>
    </w:p>
    <w:p w14:paraId="2D92A7BD" w14:textId="77777777" w:rsidR="00082037" w:rsidRDefault="00173F4F" w:rsidP="00AB74E3">
      <w:pPr>
        <w:numPr>
          <w:ilvl w:val="0"/>
          <w:numId w:val="4"/>
        </w:numPr>
        <w:ind w:left="-359" w:hanging="358"/>
        <w:contextualSpacing/>
      </w:pPr>
      <w:r w:rsidRPr="00AB74E3">
        <w:rPr>
          <w:rFonts w:ascii="Times New Roman" w:eastAsia="Times New Roman" w:hAnsi="Times New Roman" w:cs="Times New Roman"/>
        </w:rPr>
        <w:t>Contacts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AU</w:t>
      </w:r>
      <w:r w:rsidR="00AB74E3" w:rsidRPr="00AB74E3">
        <w:rPr>
          <w:rFonts w:ascii="Times New Roman" w:eastAsia="Times New Roman" w:hAnsi="Times New Roman" w:cs="Times New Roman"/>
        </w:rPr>
        <w:t>'</w:t>
      </w:r>
      <w:r w:rsidRPr="00AB74E3">
        <w:rPr>
          <w:rFonts w:ascii="Times New Roman" w:eastAsia="Times New Roman" w:hAnsi="Times New Roman" w:cs="Times New Roman"/>
        </w:rPr>
        <w:t>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QSA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for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assistance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with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translations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of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 w:rsidRPr="00AB74E3">
        <w:rPr>
          <w:rFonts w:ascii="Times New Roman" w:eastAsia="Times New Roman" w:hAnsi="Times New Roman" w:cs="Times New Roman"/>
        </w:rPr>
        <w:t>PCI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 w:rsidRPr="00AB74E3">
        <w:rPr>
          <w:rFonts w:ascii="Times New Roman" w:eastAsia="Times New Roman" w:hAnsi="Times New Roman" w:cs="Times New Roman"/>
        </w:rPr>
        <w:t>DSS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and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its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specific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applications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to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AU's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environment</w:t>
      </w:r>
    </w:p>
    <w:p w14:paraId="6E39B6C1" w14:textId="77777777" w:rsidR="00082037" w:rsidRDefault="00173F4F" w:rsidP="00AB74E3">
      <w:pPr>
        <w:numPr>
          <w:ilvl w:val="0"/>
          <w:numId w:val="4"/>
        </w:numPr>
        <w:ind w:left="-359" w:hanging="358"/>
        <w:contextualSpacing/>
      </w:pPr>
      <w:r w:rsidRPr="00AB74E3">
        <w:rPr>
          <w:rFonts w:ascii="Times New Roman" w:eastAsia="Times New Roman" w:hAnsi="Times New Roman" w:cs="Times New Roman"/>
        </w:rPr>
        <w:t>Monitors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and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test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technology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controls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meant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to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safeguard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PCI-</w:t>
      </w:r>
      <w:r w:rsidRPr="00AB74E3">
        <w:rPr>
          <w:rFonts w:ascii="Times New Roman" w:eastAsia="Times New Roman" w:hAnsi="Times New Roman" w:cs="Times New Roman"/>
        </w:rPr>
        <w:t>covered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data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on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Pr="00AB74E3">
        <w:rPr>
          <w:rFonts w:ascii="Times New Roman" w:eastAsia="Times New Roman" w:hAnsi="Times New Roman" w:cs="Times New Roman"/>
        </w:rPr>
        <w:t>the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AU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network</w:t>
      </w:r>
    </w:p>
    <w:p w14:paraId="3724F3B0" w14:textId="77777777" w:rsidR="00082037" w:rsidRDefault="00173F4F" w:rsidP="00AB74E3">
      <w:pPr>
        <w:numPr>
          <w:ilvl w:val="0"/>
          <w:numId w:val="4"/>
        </w:numPr>
        <w:ind w:left="-359" w:hanging="358"/>
        <w:contextualSpacing/>
      </w:pPr>
      <w:r>
        <w:rPr>
          <w:rFonts w:ascii="Times New Roman" w:eastAsia="Times New Roman" w:hAnsi="Times New Roman" w:cs="Times New Roman"/>
        </w:rPr>
        <w:t>Translates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technology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sections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 w:rsidR="00C7305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completi</w:t>
      </w:r>
      <w:r w:rsidR="00AB74E3">
        <w:rPr>
          <w:rFonts w:ascii="Times New Roman" w:eastAsia="Times New Roman" w:hAnsi="Times New Roman" w:cs="Times New Roman"/>
        </w:rPr>
        <w:t>ng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annual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SAQ</w:t>
      </w:r>
    </w:p>
    <w:p w14:paraId="1FA57E3B" w14:textId="77777777" w:rsidR="00082037" w:rsidRDefault="00173F4F" w:rsidP="00AB74E3">
      <w:pPr>
        <w:numPr>
          <w:ilvl w:val="0"/>
          <w:numId w:val="4"/>
        </w:numPr>
        <w:ind w:left="-359" w:hanging="358"/>
        <w:contextualSpacing/>
      </w:pPr>
      <w:bookmarkStart w:id="2" w:name="h.30j0zll" w:colFirst="0" w:colLast="0"/>
      <w:bookmarkEnd w:id="2"/>
      <w:r>
        <w:rPr>
          <w:rFonts w:ascii="Times New Roman" w:eastAsia="Times New Roman" w:hAnsi="Times New Roman" w:cs="Times New Roman"/>
        </w:rPr>
        <w:t>Prepare</w:t>
      </w:r>
      <w:r w:rsidR="00AB74E3">
        <w:rPr>
          <w:rFonts w:ascii="Times New Roman" w:eastAsia="Times New Roman" w:hAnsi="Times New Roman" w:cs="Times New Roman"/>
        </w:rPr>
        <w:t>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quarterly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system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scan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reports</w:t>
      </w:r>
    </w:p>
    <w:p w14:paraId="2AE8685D" w14:textId="77777777" w:rsidR="00082037" w:rsidRDefault="00173F4F" w:rsidP="00AB74E3">
      <w:pPr>
        <w:numPr>
          <w:ilvl w:val="0"/>
          <w:numId w:val="4"/>
        </w:numPr>
        <w:ind w:left="-359" w:hanging="358"/>
        <w:contextualSpacing/>
      </w:pPr>
      <w:bookmarkStart w:id="3" w:name="h.1fob9te" w:colFirst="0" w:colLast="0"/>
      <w:bookmarkEnd w:id="3"/>
      <w:r>
        <w:rPr>
          <w:rFonts w:ascii="Times New Roman" w:eastAsia="Times New Roman" w:hAnsi="Times New Roman" w:cs="Times New Roman"/>
        </w:rPr>
        <w:t>Coordin</w:t>
      </w:r>
      <w:r w:rsidR="00AB74E3">
        <w:rPr>
          <w:rFonts w:ascii="Times New Roman" w:eastAsia="Times New Roman" w:hAnsi="Times New Roman" w:cs="Times New Roman"/>
        </w:rPr>
        <w:t>ates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annual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penetration</w:t>
      </w:r>
      <w:r w:rsidR="00C73055">
        <w:rPr>
          <w:rFonts w:ascii="Times New Roman" w:eastAsia="Times New Roman" w:hAnsi="Times New Roman" w:cs="Times New Roman"/>
        </w:rPr>
        <w:t xml:space="preserve"> </w:t>
      </w:r>
      <w:r w:rsidR="00AB74E3">
        <w:rPr>
          <w:rFonts w:ascii="Times New Roman" w:eastAsia="Times New Roman" w:hAnsi="Times New Roman" w:cs="Times New Roman"/>
        </w:rPr>
        <w:t>testing</w:t>
      </w:r>
    </w:p>
    <w:p w14:paraId="30F883D7" w14:textId="77777777" w:rsidR="00082037" w:rsidRDefault="00082037" w:rsidP="00AB74E3"/>
    <w:p w14:paraId="48E69098" w14:textId="77777777" w:rsidR="00082037" w:rsidRDefault="00173F4F" w:rsidP="00AB74E3">
      <w:pPr>
        <w:ind w:left="-718"/>
      </w:pPr>
      <w:r>
        <w:rPr>
          <w:rFonts w:ascii="Times New Roman" w:eastAsia="Times New Roman" w:hAnsi="Times New Roman" w:cs="Times New Roman"/>
          <w:b/>
        </w:rPr>
        <w:t>Resources</w:t>
      </w:r>
    </w:p>
    <w:p w14:paraId="5045E79E" w14:textId="77777777" w:rsidR="00082037" w:rsidRDefault="00E7674A" w:rsidP="00AB74E3">
      <w:pPr>
        <w:numPr>
          <w:ilvl w:val="0"/>
          <w:numId w:val="6"/>
        </w:numPr>
        <w:ind w:left="-359" w:hanging="358"/>
        <w:contextualSpacing/>
      </w:pPr>
      <w:hyperlink r:id="rId8" w:history="1">
        <w:r w:rsidR="00173F4F" w:rsidRPr="00AB74E3">
          <w:rPr>
            <w:rStyle w:val="Hyperlink"/>
            <w:rFonts w:ascii="Times New Roman" w:eastAsia="Times New Roman" w:hAnsi="Times New Roman" w:cs="Times New Roman"/>
          </w:rPr>
          <w:t>EDUCAUSE</w:t>
        </w:r>
        <w:r w:rsidR="00C73055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="00173F4F" w:rsidRPr="00AB74E3">
          <w:rPr>
            <w:rStyle w:val="Hyperlink"/>
            <w:rFonts w:ascii="Times New Roman" w:eastAsia="Times New Roman" w:hAnsi="Times New Roman" w:cs="Times New Roman"/>
          </w:rPr>
          <w:t>Higher</w:t>
        </w:r>
        <w:r w:rsidR="00C73055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="00173F4F" w:rsidRPr="00AB74E3">
          <w:rPr>
            <w:rStyle w:val="Hyperlink"/>
            <w:rFonts w:ascii="Times New Roman" w:eastAsia="Times New Roman" w:hAnsi="Times New Roman" w:cs="Times New Roman"/>
          </w:rPr>
          <w:t>Education</w:t>
        </w:r>
        <w:r w:rsidR="00C73055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="00173F4F" w:rsidRPr="00AB74E3">
          <w:rPr>
            <w:rStyle w:val="Hyperlink"/>
            <w:rFonts w:ascii="Times New Roman" w:eastAsia="Times New Roman" w:hAnsi="Times New Roman" w:cs="Times New Roman"/>
          </w:rPr>
          <w:t>Information</w:t>
        </w:r>
        <w:r w:rsidR="00C73055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="00173F4F" w:rsidRPr="00AB74E3">
          <w:rPr>
            <w:rStyle w:val="Hyperlink"/>
            <w:rFonts w:ascii="Times New Roman" w:eastAsia="Times New Roman" w:hAnsi="Times New Roman" w:cs="Times New Roman"/>
          </w:rPr>
          <w:t>Council</w:t>
        </w:r>
        <w:r w:rsidR="00AB74E3" w:rsidRPr="00AB74E3">
          <w:rPr>
            <w:rStyle w:val="Hyperlink"/>
            <w:rFonts w:ascii="Times New Roman" w:eastAsia="Times New Roman" w:hAnsi="Times New Roman" w:cs="Times New Roman"/>
          </w:rPr>
          <w:t>'</w:t>
        </w:r>
        <w:r w:rsidR="00173F4F" w:rsidRPr="00AB74E3">
          <w:rPr>
            <w:rStyle w:val="Hyperlink"/>
            <w:rFonts w:ascii="Times New Roman" w:eastAsia="Times New Roman" w:hAnsi="Times New Roman" w:cs="Times New Roman"/>
          </w:rPr>
          <w:t>s</w:t>
        </w:r>
        <w:r w:rsidR="00C73055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="00173F4F" w:rsidRPr="00AB74E3">
          <w:rPr>
            <w:rStyle w:val="Hyperlink"/>
            <w:rFonts w:ascii="Times New Roman" w:eastAsia="Times New Roman" w:hAnsi="Times New Roman" w:cs="Times New Roman"/>
          </w:rPr>
          <w:t>Credit</w:t>
        </w:r>
        <w:r w:rsidR="00C73055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="00173F4F" w:rsidRPr="00AB74E3">
          <w:rPr>
            <w:rStyle w:val="Hyperlink"/>
            <w:rFonts w:ascii="Times New Roman" w:eastAsia="Times New Roman" w:hAnsi="Times New Roman" w:cs="Times New Roman"/>
          </w:rPr>
          <w:t>Card</w:t>
        </w:r>
        <w:r w:rsidR="00C73055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="00173F4F" w:rsidRPr="00AB74E3">
          <w:rPr>
            <w:rStyle w:val="Hyperlink"/>
            <w:rFonts w:ascii="Times New Roman" w:eastAsia="Times New Roman" w:hAnsi="Times New Roman" w:cs="Times New Roman"/>
          </w:rPr>
          <w:t>Data</w:t>
        </w:r>
        <w:r w:rsidR="00C73055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="00173F4F" w:rsidRPr="00AB74E3">
          <w:rPr>
            <w:rStyle w:val="Hyperlink"/>
            <w:rFonts w:ascii="Times New Roman" w:eastAsia="Times New Roman" w:hAnsi="Times New Roman" w:cs="Times New Roman"/>
          </w:rPr>
          <w:t>Wiki</w:t>
        </w:r>
      </w:hyperlink>
    </w:p>
    <w:p w14:paraId="24D36E6B" w14:textId="77777777" w:rsidR="00082037" w:rsidRDefault="00E7674A" w:rsidP="00AB74E3">
      <w:pPr>
        <w:numPr>
          <w:ilvl w:val="0"/>
          <w:numId w:val="6"/>
        </w:numPr>
        <w:ind w:left="-359" w:hanging="358"/>
        <w:contextualSpacing/>
      </w:pPr>
      <w:hyperlink r:id="rId9" w:history="1">
        <w:r w:rsidR="00173F4F" w:rsidRPr="00AB74E3">
          <w:rPr>
            <w:rStyle w:val="Hyperlink"/>
            <w:rFonts w:ascii="Times New Roman" w:eastAsia="Times New Roman" w:hAnsi="Times New Roman" w:cs="Times New Roman"/>
          </w:rPr>
          <w:t>Official</w:t>
        </w:r>
        <w:r w:rsidR="00C73055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="00173F4F" w:rsidRPr="00AB74E3">
          <w:rPr>
            <w:rStyle w:val="Hyperlink"/>
            <w:rFonts w:ascii="Times New Roman" w:eastAsia="Times New Roman" w:hAnsi="Times New Roman" w:cs="Times New Roman"/>
          </w:rPr>
          <w:t>Source</w:t>
        </w:r>
        <w:r w:rsidR="00C73055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="00173F4F" w:rsidRPr="00AB74E3">
          <w:rPr>
            <w:rStyle w:val="Hyperlink"/>
            <w:rFonts w:ascii="Times New Roman" w:eastAsia="Times New Roman" w:hAnsi="Times New Roman" w:cs="Times New Roman"/>
          </w:rPr>
          <w:t>of</w:t>
        </w:r>
        <w:r w:rsidR="00C73055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="00173F4F" w:rsidRPr="00AB74E3">
          <w:rPr>
            <w:rStyle w:val="Hyperlink"/>
            <w:rFonts w:ascii="Times New Roman" w:eastAsia="Times New Roman" w:hAnsi="Times New Roman" w:cs="Times New Roman"/>
          </w:rPr>
          <w:t>PCI</w:t>
        </w:r>
        <w:r w:rsidR="00C73055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="00AB74E3">
          <w:rPr>
            <w:rStyle w:val="Hyperlink"/>
            <w:rFonts w:ascii="Times New Roman" w:eastAsia="Times New Roman" w:hAnsi="Times New Roman" w:cs="Times New Roman"/>
          </w:rPr>
          <w:t>SSC</w:t>
        </w:r>
        <w:r w:rsidR="00C73055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="00173F4F" w:rsidRPr="00AB74E3">
          <w:rPr>
            <w:rStyle w:val="Hyperlink"/>
            <w:rFonts w:ascii="Times New Roman" w:eastAsia="Times New Roman" w:hAnsi="Times New Roman" w:cs="Times New Roman"/>
          </w:rPr>
          <w:t>Data</w:t>
        </w:r>
        <w:r w:rsidR="00C73055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="00173F4F" w:rsidRPr="00AB74E3">
          <w:rPr>
            <w:rStyle w:val="Hyperlink"/>
            <w:rFonts w:ascii="Times New Roman" w:eastAsia="Times New Roman" w:hAnsi="Times New Roman" w:cs="Times New Roman"/>
          </w:rPr>
          <w:t>Security</w:t>
        </w:r>
        <w:r w:rsidR="00C73055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="00173F4F" w:rsidRPr="00AB74E3">
          <w:rPr>
            <w:rStyle w:val="Hyperlink"/>
            <w:rFonts w:ascii="Times New Roman" w:eastAsia="Times New Roman" w:hAnsi="Times New Roman" w:cs="Times New Roman"/>
          </w:rPr>
          <w:t>Standards</w:t>
        </w:r>
      </w:hyperlink>
    </w:p>
    <w:p w14:paraId="5E3FC66D" w14:textId="77777777" w:rsidR="00082037" w:rsidRDefault="00E7674A" w:rsidP="00AB74E3">
      <w:pPr>
        <w:numPr>
          <w:ilvl w:val="0"/>
          <w:numId w:val="6"/>
        </w:numPr>
        <w:ind w:left="-359" w:hanging="358"/>
        <w:contextualSpacing/>
      </w:pPr>
      <w:hyperlink r:id="rId10" w:history="1">
        <w:r w:rsidR="00173F4F" w:rsidRPr="00AB74E3">
          <w:rPr>
            <w:rStyle w:val="Hyperlink"/>
            <w:rFonts w:ascii="Times New Roman" w:eastAsia="Times New Roman" w:hAnsi="Times New Roman" w:cs="Times New Roman"/>
          </w:rPr>
          <w:t>List</w:t>
        </w:r>
        <w:r w:rsidR="00C73055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="00173F4F" w:rsidRPr="00AB74E3">
          <w:rPr>
            <w:rStyle w:val="Hyperlink"/>
            <w:rFonts w:ascii="Times New Roman" w:eastAsia="Times New Roman" w:hAnsi="Times New Roman" w:cs="Times New Roman"/>
          </w:rPr>
          <w:t>of</w:t>
        </w:r>
        <w:r w:rsidR="00C73055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="00173F4F" w:rsidRPr="00AB74E3">
          <w:rPr>
            <w:rStyle w:val="Hyperlink"/>
            <w:rFonts w:ascii="Times New Roman" w:eastAsia="Times New Roman" w:hAnsi="Times New Roman" w:cs="Times New Roman"/>
          </w:rPr>
          <w:t>Validated</w:t>
        </w:r>
        <w:r w:rsidR="00C73055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="00173F4F" w:rsidRPr="00AB74E3">
          <w:rPr>
            <w:rStyle w:val="Hyperlink"/>
            <w:rFonts w:ascii="Times New Roman" w:eastAsia="Times New Roman" w:hAnsi="Times New Roman" w:cs="Times New Roman"/>
          </w:rPr>
          <w:t>Payment</w:t>
        </w:r>
        <w:r w:rsidR="00C73055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="00173F4F" w:rsidRPr="00AB74E3">
          <w:rPr>
            <w:rStyle w:val="Hyperlink"/>
            <w:rFonts w:ascii="Times New Roman" w:eastAsia="Times New Roman" w:hAnsi="Times New Roman" w:cs="Times New Roman"/>
          </w:rPr>
          <w:t>Applications</w:t>
        </w:r>
      </w:hyperlink>
    </w:p>
    <w:sectPr w:rsidR="00082037">
      <w:headerReference w:type="default" r:id="rId11"/>
      <w:pgSz w:w="12240" w:h="15840"/>
      <w:pgMar w:top="1440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9EC7C" w14:textId="77777777" w:rsidR="00D02AFB" w:rsidRDefault="00D02AFB">
      <w:r>
        <w:separator/>
      </w:r>
    </w:p>
  </w:endnote>
  <w:endnote w:type="continuationSeparator" w:id="0">
    <w:p w14:paraId="18538301" w14:textId="77777777" w:rsidR="00D02AFB" w:rsidRDefault="00D0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12474" w14:textId="77777777" w:rsidR="00D02AFB" w:rsidRDefault="00D02AFB">
      <w:r>
        <w:separator/>
      </w:r>
    </w:p>
  </w:footnote>
  <w:footnote w:type="continuationSeparator" w:id="0">
    <w:p w14:paraId="73182F3F" w14:textId="77777777" w:rsidR="00D02AFB" w:rsidRDefault="00D02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9C528" w14:textId="77777777" w:rsidR="00082037" w:rsidRDefault="00173F4F">
    <w:pPr>
      <w:ind w:left="-718"/>
    </w:pPr>
    <w:r>
      <w:rPr>
        <w:noProof/>
      </w:rPr>
      <w:drawing>
        <wp:anchor distT="0" distB="0" distL="114300" distR="114300" simplePos="0" relativeHeight="251658240" behindDoc="0" locked="0" layoutInCell="0" hidden="0" allowOverlap="0" wp14:anchorId="4C11E6C1" wp14:editId="65CE5047">
          <wp:simplePos x="0" y="0"/>
          <wp:positionH relativeFrom="margin">
            <wp:posOffset>-457199</wp:posOffset>
          </wp:positionH>
          <wp:positionV relativeFrom="paragraph">
            <wp:posOffset>-228599</wp:posOffset>
          </wp:positionV>
          <wp:extent cx="3096895" cy="531495"/>
          <wp:effectExtent l="0" t="0" r="0" b="0"/>
          <wp:wrapNone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96895" cy="531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56E"/>
    <w:multiLevelType w:val="multilevel"/>
    <w:tmpl w:val="FEFE123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>
    <w:nsid w:val="09F93CD8"/>
    <w:multiLevelType w:val="multilevel"/>
    <w:tmpl w:val="E1C03322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2">
    <w:nsid w:val="373935ED"/>
    <w:multiLevelType w:val="multilevel"/>
    <w:tmpl w:val="F4145848"/>
    <w:lvl w:ilvl="0">
      <w:start w:val="1"/>
      <w:numFmt w:val="bullet"/>
      <w:lvlText w:val="●"/>
      <w:lvlJc w:val="left"/>
      <w:pPr>
        <w:ind w:left="810" w:firstLine="12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30" w:firstLine="27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50" w:firstLine="41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70" w:firstLine="55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90" w:firstLine="70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10" w:firstLine="84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30" w:firstLine="99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50" w:firstLine="113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70" w:firstLine="12780"/>
      </w:pPr>
      <w:rPr>
        <w:rFonts w:ascii="Arial" w:eastAsia="Arial" w:hAnsi="Arial" w:cs="Arial"/>
      </w:rPr>
    </w:lvl>
  </w:abstractNum>
  <w:abstractNum w:abstractNumId="3">
    <w:nsid w:val="386C4715"/>
    <w:multiLevelType w:val="multilevel"/>
    <w:tmpl w:val="425E8146"/>
    <w:lvl w:ilvl="0">
      <w:start w:val="1"/>
      <w:numFmt w:val="bullet"/>
      <w:lvlText w:val="●"/>
      <w:lvlJc w:val="left"/>
      <w:pPr>
        <w:ind w:left="719" w:firstLine="1079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39" w:firstLine="2519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59" w:firstLine="3959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79" w:firstLine="5399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599" w:firstLine="6839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19" w:firstLine="8279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39" w:firstLine="9719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59" w:firstLine="11159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79" w:firstLine="12599"/>
      </w:pPr>
      <w:rPr>
        <w:rFonts w:ascii="Arial" w:eastAsia="Arial" w:hAnsi="Arial" w:cs="Arial"/>
        <w:u w:val="none"/>
      </w:rPr>
    </w:lvl>
  </w:abstractNum>
  <w:abstractNum w:abstractNumId="4">
    <w:nsid w:val="4B6E748E"/>
    <w:multiLevelType w:val="multilevel"/>
    <w:tmpl w:val="8FD2ED9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●"/>
      <w:lvlJc w:val="left"/>
      <w:pPr>
        <w:ind w:left="2160" w:firstLine="396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●"/>
      <w:lvlJc w:val="left"/>
      <w:pPr>
        <w:ind w:left="4320" w:firstLine="828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●"/>
      <w:lvlJc w:val="left"/>
      <w:pPr>
        <w:ind w:left="6480" w:firstLine="12600"/>
      </w:pPr>
      <w:rPr>
        <w:rFonts w:ascii="Arial" w:eastAsia="Arial" w:hAnsi="Arial" w:cs="Arial"/>
        <w:sz w:val="20"/>
      </w:rPr>
    </w:lvl>
  </w:abstractNum>
  <w:abstractNum w:abstractNumId="5">
    <w:nsid w:val="7A5A1857"/>
    <w:multiLevelType w:val="multilevel"/>
    <w:tmpl w:val="13CE1B0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2037"/>
    <w:rsid w:val="00082037"/>
    <w:rsid w:val="000D0188"/>
    <w:rsid w:val="00173F4F"/>
    <w:rsid w:val="002A2505"/>
    <w:rsid w:val="00681F38"/>
    <w:rsid w:val="00895B1F"/>
    <w:rsid w:val="00AB74E3"/>
    <w:rsid w:val="00C73055"/>
    <w:rsid w:val="00D02AFB"/>
    <w:rsid w:val="00E7674A"/>
    <w:rsid w:val="00F1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615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7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4E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4E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4E3"/>
    <w:rPr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AB74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74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7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4E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4E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4E3"/>
    <w:rPr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AB74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74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internet2.edu/confluence/display/2014infosecurityguide/Credit+Card+Dat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cisecuritystandards.org/approved_companies_providers/vpa_agreement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cisecuritystandards.org/security_standard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4304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PCI Security Translation v2 GRC WG.docx</vt:lpstr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PCI Security Translation v2 GRC WG.docx</dc:title>
  <dc:creator>Colleen Keller</dc:creator>
  <cp:lastModifiedBy>Colleen Keller</cp:lastModifiedBy>
  <cp:revision>2</cp:revision>
  <cp:lastPrinted>2015-01-14T22:16:00Z</cp:lastPrinted>
  <dcterms:created xsi:type="dcterms:W3CDTF">2015-03-19T16:17:00Z</dcterms:created>
  <dcterms:modified xsi:type="dcterms:W3CDTF">2015-03-19T16:17:00Z</dcterms:modified>
</cp:coreProperties>
</file>