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9943E" w14:textId="51F0DECC" w:rsidR="00DA6A83" w:rsidRPr="00D57AAA" w:rsidRDefault="00DA6A83" w:rsidP="00DA6A83">
      <w:pPr>
        <w:jc w:val="center"/>
        <w:rPr>
          <w:rFonts w:asciiTheme="majorHAnsi" w:hAnsiTheme="majorHAnsi"/>
          <w:b/>
          <w:color w:val="3366FF"/>
          <w:sz w:val="36"/>
          <w:szCs w:val="36"/>
        </w:rPr>
      </w:pPr>
      <w:r w:rsidRPr="00D57AAA">
        <w:rPr>
          <w:rFonts w:asciiTheme="majorHAnsi" w:hAnsiTheme="majorHAnsi"/>
          <w:b/>
          <w:color w:val="3366FF"/>
          <w:sz w:val="36"/>
          <w:szCs w:val="36"/>
        </w:rPr>
        <w:t xml:space="preserve">Traditional Strategic Planning </w:t>
      </w:r>
      <w:proofErr w:type="spellStart"/>
      <w:r w:rsidRPr="00D57AAA">
        <w:rPr>
          <w:rFonts w:asciiTheme="majorHAnsi" w:hAnsiTheme="majorHAnsi"/>
          <w:b/>
          <w:sz w:val="36"/>
          <w:szCs w:val="36"/>
        </w:rPr>
        <w:t>vs</w:t>
      </w:r>
      <w:proofErr w:type="spellEnd"/>
      <w:r w:rsidRPr="00D57AAA">
        <w:rPr>
          <w:rFonts w:asciiTheme="majorHAnsi" w:hAnsiTheme="majorHAnsi"/>
          <w:b/>
          <w:color w:val="3366FF"/>
          <w:sz w:val="36"/>
          <w:szCs w:val="36"/>
        </w:rPr>
        <w:t xml:space="preserve"> </w:t>
      </w:r>
      <w:r w:rsidRPr="00D57AAA">
        <w:rPr>
          <w:rFonts w:asciiTheme="majorHAnsi" w:hAnsiTheme="majorHAnsi"/>
          <w:b/>
          <w:color w:val="F79646" w:themeColor="accent6"/>
          <w:sz w:val="36"/>
          <w:szCs w:val="36"/>
        </w:rPr>
        <w:t>Living Strategy</w:t>
      </w:r>
    </w:p>
    <w:tbl>
      <w:tblPr>
        <w:tblW w:w="5000" w:type="pct"/>
        <w:tblCellSpacing w:w="15" w:type="dxa"/>
        <w:shd w:val="clear" w:color="auto" w:fill="FFFFFF"/>
        <w:tblCellMar>
          <w:left w:w="60" w:type="dxa"/>
          <w:bottom w:w="45" w:type="dxa"/>
          <w:right w:w="60" w:type="dxa"/>
        </w:tblCellMar>
        <w:tblLook w:val="04A0" w:firstRow="1" w:lastRow="0" w:firstColumn="1" w:lastColumn="0" w:noHBand="0" w:noVBand="1"/>
      </w:tblPr>
      <w:tblGrid>
        <w:gridCol w:w="9450"/>
        <w:gridCol w:w="9450"/>
      </w:tblGrid>
      <w:tr w:rsidR="00DA6A83" w:rsidRPr="00D57AAA" w14:paraId="391E3A4F" w14:textId="77777777" w:rsidTr="006C520E">
        <w:trPr>
          <w:tblCellSpacing w:w="15" w:type="dxa"/>
        </w:trPr>
        <w:tc>
          <w:tcPr>
            <w:tcW w:w="2488" w:type="pct"/>
            <w:tcBorders>
              <w:top w:val="nil"/>
              <w:left w:val="nil"/>
              <w:bottom w:val="nil"/>
              <w:right w:val="nil"/>
            </w:tcBorders>
            <w:shd w:val="clear" w:color="auto" w:fill="9EAFFF"/>
            <w:hideMark/>
          </w:tcPr>
          <w:p w14:paraId="056C2EF3" w14:textId="10CA6580" w:rsidR="00DA6A83" w:rsidRPr="00D57AAA" w:rsidRDefault="006C520E" w:rsidP="00DA6A83">
            <w:pPr>
              <w:spacing w:line="360" w:lineRule="atLeast"/>
              <w:rPr>
                <w:rFonts w:asciiTheme="majorHAnsi" w:eastAsia="Times New Roman" w:hAnsiTheme="majorHAnsi" w:cs="Arial"/>
                <w:sz w:val="32"/>
                <w:szCs w:val="32"/>
              </w:rPr>
            </w:pPr>
            <w:r>
              <w:rPr>
                <w:rFonts w:asciiTheme="majorHAnsi" w:eastAsia="Times New Roman" w:hAnsiTheme="majorHAnsi" w:cs="Arial"/>
                <w:sz w:val="32"/>
                <w:szCs w:val="32"/>
                <w:bdr w:val="none" w:sz="0" w:space="0" w:color="auto" w:frame="1"/>
              </w:rPr>
              <w:t>Strategic p</w:t>
            </w:r>
            <w:r w:rsidR="00DA6A83" w:rsidRPr="00D57AAA">
              <w:rPr>
                <w:rFonts w:asciiTheme="majorHAnsi" w:eastAsia="Times New Roman" w:hAnsiTheme="majorHAnsi" w:cs="Arial"/>
                <w:sz w:val="32"/>
                <w:szCs w:val="32"/>
                <w:bdr w:val="none" w:sz="0" w:space="0" w:color="auto" w:frame="1"/>
              </w:rPr>
              <w:t>lanning</w:t>
            </w:r>
          </w:p>
        </w:tc>
        <w:tc>
          <w:tcPr>
            <w:tcW w:w="2488" w:type="pct"/>
            <w:tcBorders>
              <w:top w:val="nil"/>
              <w:left w:val="nil"/>
              <w:bottom w:val="nil"/>
              <w:right w:val="nil"/>
            </w:tcBorders>
            <w:shd w:val="clear" w:color="auto" w:fill="FFB82F"/>
            <w:hideMark/>
          </w:tcPr>
          <w:p w14:paraId="2251D9D3" w14:textId="230BA09A" w:rsidR="00DA6A83" w:rsidRPr="00D57AAA" w:rsidRDefault="00363D54" w:rsidP="00DA6A83">
            <w:pPr>
              <w:spacing w:line="360" w:lineRule="atLeast"/>
              <w:rPr>
                <w:rFonts w:asciiTheme="majorHAnsi" w:eastAsia="Times New Roman" w:hAnsiTheme="majorHAnsi" w:cs="Arial"/>
                <w:sz w:val="32"/>
                <w:szCs w:val="32"/>
              </w:rPr>
            </w:pPr>
            <w:r w:rsidRPr="00D57AAA">
              <w:rPr>
                <w:rFonts w:asciiTheme="majorHAnsi" w:eastAsia="Times New Roman" w:hAnsiTheme="majorHAnsi" w:cs="Arial"/>
                <w:sz w:val="32"/>
                <w:szCs w:val="32"/>
                <w:bdr w:val="none" w:sz="0" w:space="0" w:color="auto" w:frame="1"/>
              </w:rPr>
              <w:t>Strategic thinking, questions, </w:t>
            </w:r>
            <w:r w:rsidR="00DA6A83" w:rsidRPr="00D57AAA">
              <w:rPr>
                <w:rFonts w:asciiTheme="majorHAnsi" w:eastAsia="Times New Roman" w:hAnsiTheme="majorHAnsi" w:cs="Arial"/>
                <w:sz w:val="32"/>
                <w:szCs w:val="32"/>
                <w:bdr w:val="none" w:sz="0" w:space="0" w:color="auto" w:frame="1"/>
              </w:rPr>
              <w:t>dialogue, and stories</w:t>
            </w:r>
          </w:p>
        </w:tc>
      </w:tr>
      <w:tr w:rsidR="00363D54" w:rsidRPr="00D57AAA" w14:paraId="1AD8FB28" w14:textId="77777777" w:rsidTr="006C520E">
        <w:trPr>
          <w:tblCellSpacing w:w="15" w:type="dxa"/>
        </w:trPr>
        <w:tc>
          <w:tcPr>
            <w:tcW w:w="2488" w:type="pct"/>
            <w:tcBorders>
              <w:top w:val="nil"/>
              <w:left w:val="nil"/>
              <w:bottom w:val="nil"/>
              <w:right w:val="nil"/>
            </w:tcBorders>
            <w:shd w:val="clear" w:color="auto" w:fill="9EAFFF"/>
            <w:hideMark/>
          </w:tcPr>
          <w:p w14:paraId="57AFCD8D" w14:textId="5E58A103" w:rsidR="00363D54" w:rsidRPr="00D57AAA" w:rsidRDefault="00363D54" w:rsidP="00AA7511">
            <w:pPr>
              <w:spacing w:line="360" w:lineRule="atLeast"/>
              <w:ind w:right="100"/>
              <w:rPr>
                <w:rFonts w:asciiTheme="majorHAnsi" w:hAnsiTheme="majorHAnsi" w:cs="Arial"/>
                <w:sz w:val="32"/>
                <w:szCs w:val="32"/>
              </w:rPr>
            </w:pPr>
            <w:r w:rsidRPr="00D57AAA">
              <w:rPr>
                <w:rFonts w:asciiTheme="majorHAnsi" w:eastAsia="Times New Roman" w:hAnsiTheme="majorHAnsi" w:cs="Arial"/>
                <w:sz w:val="32"/>
                <w:szCs w:val="32"/>
                <w:bdr w:val="none" w:sz="0" w:space="0" w:color="auto" w:frame="1"/>
              </w:rPr>
              <w:t>Attempts to predict the future and build everythin</w:t>
            </w:r>
            <w:bookmarkStart w:id="0" w:name="_GoBack"/>
            <w:bookmarkEnd w:id="0"/>
            <w:r w:rsidRPr="00D57AAA">
              <w:rPr>
                <w:rFonts w:asciiTheme="majorHAnsi" w:eastAsia="Times New Roman" w:hAnsiTheme="majorHAnsi" w:cs="Arial"/>
                <w:sz w:val="32"/>
                <w:szCs w:val="32"/>
                <w:bdr w:val="none" w:sz="0" w:space="0" w:color="auto" w:frame="1"/>
              </w:rPr>
              <w:t>g around this prediction</w:t>
            </w:r>
          </w:p>
        </w:tc>
        <w:tc>
          <w:tcPr>
            <w:tcW w:w="2488" w:type="pct"/>
            <w:tcBorders>
              <w:top w:val="nil"/>
              <w:left w:val="nil"/>
              <w:bottom w:val="nil"/>
              <w:right w:val="nil"/>
            </w:tcBorders>
            <w:shd w:val="clear" w:color="auto" w:fill="FFB82F"/>
            <w:hideMark/>
          </w:tcPr>
          <w:p w14:paraId="0E6D86CC" w14:textId="1191C7F1" w:rsidR="00363D54" w:rsidRPr="00D57AAA" w:rsidRDefault="00363D54" w:rsidP="00363D54">
            <w:pPr>
              <w:spacing w:line="360" w:lineRule="atLeast"/>
              <w:ind w:right="100"/>
              <w:rPr>
                <w:rFonts w:asciiTheme="majorHAnsi" w:hAnsiTheme="majorHAnsi" w:cs="Arial"/>
                <w:sz w:val="32"/>
                <w:szCs w:val="32"/>
              </w:rPr>
            </w:pPr>
            <w:r w:rsidRPr="00D57AAA">
              <w:rPr>
                <w:rFonts w:asciiTheme="majorHAnsi" w:hAnsiTheme="majorHAnsi" w:cs="Arial"/>
                <w:sz w:val="32"/>
                <w:szCs w:val="32"/>
                <w:bdr w:val="none" w:sz="0" w:space="0" w:color="auto" w:frame="1"/>
              </w:rPr>
              <w:t>“You can’t predict the future, but you can be ready for whatever it brings.”</w:t>
            </w:r>
            <w:r w:rsidR="006D16E2" w:rsidRPr="00D57AAA">
              <w:rPr>
                <w:rFonts w:asciiTheme="majorHAnsi" w:hAnsiTheme="majorHAnsi" w:cs="Arial"/>
                <w:sz w:val="32"/>
                <w:szCs w:val="32"/>
                <w:bdr w:val="none" w:sz="0" w:space="0" w:color="auto" w:frame="1"/>
              </w:rPr>
              <w:t xml:space="preserve"> </w:t>
            </w:r>
            <w:r w:rsidRPr="00D57AAA">
              <w:rPr>
                <w:rFonts w:asciiTheme="majorHAnsi" w:hAnsiTheme="majorHAnsi" w:cs="Arial"/>
                <w:sz w:val="32"/>
                <w:szCs w:val="32"/>
                <w:bdr w:val="none" w:sz="0" w:space="0" w:color="auto" w:frame="1"/>
              </w:rPr>
              <w:t>“The only kind of strategy that makes sense in the face of unpredictable change is a strategy to become adaptive...Planned responses do not work”</w:t>
            </w:r>
          </w:p>
        </w:tc>
      </w:tr>
      <w:tr w:rsidR="00363D54" w:rsidRPr="00D57AAA" w14:paraId="40A97E6D" w14:textId="77777777" w:rsidTr="006C520E">
        <w:trPr>
          <w:tblCellSpacing w:w="15" w:type="dxa"/>
        </w:trPr>
        <w:tc>
          <w:tcPr>
            <w:tcW w:w="2488" w:type="pct"/>
            <w:tcBorders>
              <w:top w:val="nil"/>
              <w:left w:val="nil"/>
              <w:bottom w:val="nil"/>
              <w:right w:val="nil"/>
            </w:tcBorders>
            <w:shd w:val="clear" w:color="auto" w:fill="9EAFFF"/>
            <w:hideMark/>
          </w:tcPr>
          <w:p w14:paraId="1127E61B" w14:textId="0BB1CAC3" w:rsidR="00363D54" w:rsidRPr="00D57AAA" w:rsidRDefault="00363D54" w:rsidP="00DA6A83">
            <w:pPr>
              <w:spacing w:line="360" w:lineRule="atLeast"/>
              <w:rPr>
                <w:rFonts w:asciiTheme="majorHAnsi" w:eastAsia="Times New Roman" w:hAnsiTheme="majorHAnsi" w:cs="Arial"/>
                <w:sz w:val="32"/>
                <w:szCs w:val="32"/>
              </w:rPr>
            </w:pPr>
            <w:r w:rsidRPr="00D57AAA">
              <w:rPr>
                <w:rFonts w:asciiTheme="majorHAnsi" w:eastAsia="Times New Roman" w:hAnsiTheme="majorHAnsi" w:cs="Arial"/>
                <w:sz w:val="32"/>
                <w:szCs w:val="32"/>
                <w:bdr w:val="none" w:sz="0" w:space="0" w:color="auto" w:frame="1"/>
              </w:rPr>
              <w:t>Annual, linear process</w:t>
            </w:r>
          </w:p>
        </w:tc>
        <w:tc>
          <w:tcPr>
            <w:tcW w:w="2488" w:type="pct"/>
            <w:tcBorders>
              <w:top w:val="nil"/>
              <w:left w:val="nil"/>
              <w:bottom w:val="nil"/>
              <w:right w:val="nil"/>
            </w:tcBorders>
            <w:shd w:val="clear" w:color="auto" w:fill="FFB82F"/>
            <w:hideMark/>
          </w:tcPr>
          <w:p w14:paraId="7474D202" w14:textId="5B4135C1" w:rsidR="00363D54" w:rsidRPr="00D57AAA" w:rsidRDefault="00363D54" w:rsidP="00AA7511">
            <w:pPr>
              <w:spacing w:line="360" w:lineRule="atLeast"/>
              <w:ind w:right="100"/>
              <w:rPr>
                <w:rFonts w:asciiTheme="majorHAnsi" w:hAnsiTheme="majorHAnsi" w:cs="Arial"/>
                <w:sz w:val="32"/>
                <w:szCs w:val="32"/>
              </w:rPr>
            </w:pPr>
            <w:r w:rsidRPr="00D57AAA">
              <w:rPr>
                <w:rFonts w:asciiTheme="majorHAnsi" w:eastAsia="Times New Roman" w:hAnsiTheme="majorHAnsi" w:cs="Arial"/>
                <w:sz w:val="32"/>
                <w:szCs w:val="32"/>
                <w:bdr w:val="none" w:sz="0" w:space="0" w:color="auto" w:frame="1"/>
              </w:rPr>
              <w:t>Ongoing, iterative process.</w:t>
            </w:r>
          </w:p>
        </w:tc>
      </w:tr>
      <w:tr w:rsidR="00363D54" w:rsidRPr="00D57AAA" w14:paraId="6F16ABF1" w14:textId="77777777" w:rsidTr="006C520E">
        <w:trPr>
          <w:tblCellSpacing w:w="15" w:type="dxa"/>
        </w:trPr>
        <w:tc>
          <w:tcPr>
            <w:tcW w:w="2488" w:type="pct"/>
            <w:tcBorders>
              <w:top w:val="nil"/>
              <w:left w:val="nil"/>
              <w:bottom w:val="nil"/>
              <w:right w:val="nil"/>
            </w:tcBorders>
            <w:shd w:val="clear" w:color="auto" w:fill="9EAFFF"/>
            <w:hideMark/>
          </w:tcPr>
          <w:p w14:paraId="4164046C" w14:textId="3EBC5DD3" w:rsidR="00363D54" w:rsidRPr="00D57AAA" w:rsidRDefault="00363D54" w:rsidP="00DA6A83">
            <w:pPr>
              <w:spacing w:line="360" w:lineRule="atLeast"/>
              <w:rPr>
                <w:rFonts w:asciiTheme="majorHAnsi" w:eastAsia="Times New Roman" w:hAnsiTheme="majorHAnsi" w:cs="Arial"/>
                <w:sz w:val="32"/>
                <w:szCs w:val="32"/>
              </w:rPr>
            </w:pPr>
            <w:r w:rsidRPr="00D57AAA">
              <w:rPr>
                <w:rFonts w:asciiTheme="majorHAnsi" w:eastAsia="Times New Roman" w:hAnsiTheme="majorHAnsi" w:cs="Arial"/>
                <w:sz w:val="32"/>
                <w:szCs w:val="32"/>
                <w:bdr w:val="none" w:sz="0" w:space="0" w:color="auto" w:frame="1"/>
              </w:rPr>
              <w:t>Inputs as one-way “data dumps” of current facts and collected data</w:t>
            </w:r>
          </w:p>
        </w:tc>
        <w:tc>
          <w:tcPr>
            <w:tcW w:w="2488" w:type="pct"/>
            <w:tcBorders>
              <w:top w:val="nil"/>
              <w:left w:val="nil"/>
              <w:bottom w:val="nil"/>
              <w:right w:val="nil"/>
            </w:tcBorders>
            <w:shd w:val="clear" w:color="auto" w:fill="FFB82F"/>
            <w:hideMark/>
          </w:tcPr>
          <w:p w14:paraId="350A817F" w14:textId="6FB81496" w:rsidR="00363D54" w:rsidRPr="00D57AAA" w:rsidRDefault="00363D54" w:rsidP="00DA6A83">
            <w:pPr>
              <w:spacing w:line="360" w:lineRule="atLeast"/>
              <w:rPr>
                <w:rFonts w:asciiTheme="majorHAnsi" w:eastAsia="Times New Roman" w:hAnsiTheme="majorHAnsi" w:cs="Arial"/>
                <w:sz w:val="32"/>
                <w:szCs w:val="32"/>
              </w:rPr>
            </w:pPr>
            <w:r w:rsidRPr="00D57AAA">
              <w:rPr>
                <w:rFonts w:asciiTheme="majorHAnsi" w:eastAsia="Times New Roman" w:hAnsiTheme="majorHAnsi" w:cs="Arial"/>
                <w:sz w:val="32"/>
                <w:szCs w:val="32"/>
                <w:bdr w:val="none" w:sz="0" w:space="0" w:color="auto" w:frame="1"/>
              </w:rPr>
              <w:t>Collective knowledge and intelligence gathering capabilities of the entire community are available “just in time” to be used for critical reflection and interactive inquiry</w:t>
            </w:r>
          </w:p>
        </w:tc>
      </w:tr>
      <w:tr w:rsidR="00363D54" w:rsidRPr="00D57AAA" w14:paraId="5182276D" w14:textId="77777777" w:rsidTr="006C520E">
        <w:trPr>
          <w:trHeight w:val="1083"/>
          <w:tblCellSpacing w:w="15" w:type="dxa"/>
        </w:trPr>
        <w:tc>
          <w:tcPr>
            <w:tcW w:w="2488" w:type="pct"/>
            <w:tcBorders>
              <w:top w:val="nil"/>
              <w:left w:val="nil"/>
              <w:bottom w:val="nil"/>
              <w:right w:val="nil"/>
            </w:tcBorders>
            <w:shd w:val="clear" w:color="auto" w:fill="9EAFFF"/>
            <w:hideMark/>
          </w:tcPr>
          <w:p w14:paraId="31671F13" w14:textId="695325DB" w:rsidR="00363D54" w:rsidRPr="00D57AAA" w:rsidRDefault="00AA7511" w:rsidP="00DA6A83">
            <w:pPr>
              <w:spacing w:line="360" w:lineRule="atLeast"/>
              <w:rPr>
                <w:rFonts w:asciiTheme="majorHAnsi" w:eastAsia="Times New Roman" w:hAnsiTheme="majorHAnsi" w:cs="Arial"/>
                <w:sz w:val="32"/>
                <w:szCs w:val="32"/>
              </w:rPr>
            </w:pPr>
            <w:r w:rsidRPr="00D57AAA">
              <w:rPr>
                <w:rFonts w:asciiTheme="majorHAnsi" w:eastAsia="Times New Roman" w:hAnsiTheme="majorHAnsi" w:cs="Arial"/>
                <w:sz w:val="32"/>
                <w:szCs w:val="32"/>
                <w:bdr w:val="none" w:sz="0" w:space="0" w:color="auto" w:frame="1"/>
              </w:rPr>
              <w:t>The environment is predictable enough to allow use of a linear, cause/effect process to accurately plan and control how we operate in it</w:t>
            </w:r>
          </w:p>
        </w:tc>
        <w:tc>
          <w:tcPr>
            <w:tcW w:w="2488" w:type="pct"/>
            <w:tcBorders>
              <w:top w:val="nil"/>
              <w:left w:val="nil"/>
              <w:bottom w:val="nil"/>
              <w:right w:val="nil"/>
            </w:tcBorders>
            <w:shd w:val="clear" w:color="auto" w:fill="FFB82F"/>
            <w:hideMark/>
          </w:tcPr>
          <w:p w14:paraId="5C1FF836" w14:textId="6056005C" w:rsidR="00363D54" w:rsidRPr="00D57AAA" w:rsidRDefault="00AA7511" w:rsidP="00DA6A83">
            <w:pPr>
              <w:spacing w:line="360" w:lineRule="atLeast"/>
              <w:rPr>
                <w:rFonts w:asciiTheme="majorHAnsi" w:eastAsia="Times New Roman" w:hAnsiTheme="majorHAnsi" w:cs="Arial"/>
                <w:sz w:val="32"/>
                <w:szCs w:val="32"/>
              </w:rPr>
            </w:pPr>
            <w:r w:rsidRPr="00D57AAA">
              <w:rPr>
                <w:rFonts w:asciiTheme="majorHAnsi" w:eastAsia="Times New Roman" w:hAnsiTheme="majorHAnsi" w:cs="Arial"/>
                <w:sz w:val="32"/>
                <w:szCs w:val="32"/>
                <w:bdr w:val="none" w:sz="0" w:space="0" w:color="auto" w:frame="1"/>
              </w:rPr>
              <w:t>In the nonlinear, dynamic system in which we exist, we can anticipate only what is most likely to happen through continuous feedback, inquiry, and learning and thus be prepared to respond collaboratively, quickly and intelligently to whatever emerges from the system</w:t>
            </w:r>
          </w:p>
        </w:tc>
      </w:tr>
      <w:tr w:rsidR="00AA7511" w:rsidRPr="00D57AAA" w14:paraId="67FC1BBE" w14:textId="77777777" w:rsidTr="006C520E">
        <w:trPr>
          <w:trHeight w:val="1083"/>
          <w:tblCellSpacing w:w="15" w:type="dxa"/>
        </w:trPr>
        <w:tc>
          <w:tcPr>
            <w:tcW w:w="2488" w:type="pct"/>
            <w:tcBorders>
              <w:top w:val="nil"/>
              <w:left w:val="nil"/>
              <w:bottom w:val="nil"/>
              <w:right w:val="nil"/>
            </w:tcBorders>
            <w:shd w:val="clear" w:color="auto" w:fill="9EAFFF"/>
          </w:tcPr>
          <w:p w14:paraId="738029FC" w14:textId="35176494" w:rsidR="00AA7511" w:rsidRPr="00D57AAA" w:rsidRDefault="00AA7511" w:rsidP="00DA6A83">
            <w:pPr>
              <w:spacing w:line="360" w:lineRule="atLeast"/>
              <w:rPr>
                <w:rFonts w:asciiTheme="majorHAnsi" w:eastAsia="Times New Roman" w:hAnsiTheme="majorHAnsi" w:cs="Arial"/>
                <w:sz w:val="32"/>
                <w:szCs w:val="32"/>
                <w:bdr w:val="none" w:sz="0" w:space="0" w:color="auto" w:frame="1"/>
              </w:rPr>
            </w:pPr>
            <w:r w:rsidRPr="00D57AAA">
              <w:rPr>
                <w:rFonts w:asciiTheme="majorHAnsi" w:eastAsia="Times New Roman" w:hAnsiTheme="majorHAnsi" w:cs="Arial"/>
                <w:sz w:val="32"/>
                <w:szCs w:val="32"/>
                <w:bdr w:val="none" w:sz="0" w:space="0" w:color="auto" w:frame="1"/>
              </w:rPr>
              <w:t>Produces static text documents that often consist of hierarchical components prescribing a plan for the future, moving from a big-picture, long-range plan down to near-term, tactical actions</w:t>
            </w:r>
          </w:p>
        </w:tc>
        <w:tc>
          <w:tcPr>
            <w:tcW w:w="2488" w:type="pct"/>
            <w:tcBorders>
              <w:top w:val="nil"/>
              <w:left w:val="nil"/>
              <w:bottom w:val="nil"/>
              <w:right w:val="nil"/>
            </w:tcBorders>
            <w:shd w:val="clear" w:color="auto" w:fill="FFB82F"/>
          </w:tcPr>
          <w:p w14:paraId="16D79858" w14:textId="35E02AC9" w:rsidR="00AA7511" w:rsidRPr="00D57AAA" w:rsidRDefault="00AA7511" w:rsidP="00DA6A83">
            <w:pPr>
              <w:spacing w:line="360" w:lineRule="atLeast"/>
              <w:rPr>
                <w:rFonts w:asciiTheme="majorHAnsi" w:eastAsia="Times New Roman" w:hAnsiTheme="majorHAnsi" w:cs="Arial"/>
                <w:sz w:val="32"/>
                <w:szCs w:val="32"/>
                <w:bdr w:val="none" w:sz="0" w:space="0" w:color="auto" w:frame="1"/>
              </w:rPr>
            </w:pPr>
            <w:r w:rsidRPr="00D57AAA">
              <w:rPr>
                <w:rFonts w:asciiTheme="majorHAnsi" w:eastAsia="Times New Roman" w:hAnsiTheme="majorHAnsi" w:cs="Arial"/>
                <w:sz w:val="32"/>
                <w:szCs w:val="32"/>
                <w:bdr w:val="none" w:sz="0" w:space="0" w:color="auto" w:frame="1"/>
              </w:rPr>
              <w:t>Evolves dynamic, multimodal vignettes, images, and dialogue – a living story of aspirations and possibilities designed to excite the passion and imagination of the people living it and engages them in co</w:t>
            </w:r>
            <w:r w:rsidR="004C0CBA" w:rsidRPr="00D57AAA">
              <w:rPr>
                <w:rFonts w:asciiTheme="majorHAnsi" w:eastAsia="Times New Roman" w:hAnsiTheme="majorHAnsi" w:cs="Arial"/>
                <w:sz w:val="32"/>
                <w:szCs w:val="32"/>
                <w:bdr w:val="none" w:sz="0" w:space="0" w:color="auto" w:frame="1"/>
              </w:rPr>
              <w:t>-</w:t>
            </w:r>
            <w:r w:rsidRPr="00D57AAA">
              <w:rPr>
                <w:rFonts w:asciiTheme="majorHAnsi" w:eastAsia="Times New Roman" w:hAnsiTheme="majorHAnsi" w:cs="Arial"/>
                <w:sz w:val="32"/>
                <w:szCs w:val="32"/>
                <w:bdr w:val="none" w:sz="0" w:space="0" w:color="auto" w:frame="1"/>
              </w:rPr>
              <w:t>creating the emerging story and their shared future</w:t>
            </w:r>
          </w:p>
        </w:tc>
      </w:tr>
      <w:tr w:rsidR="00AA7511" w:rsidRPr="00D57AAA" w14:paraId="00FE212C" w14:textId="77777777" w:rsidTr="006C520E">
        <w:trPr>
          <w:trHeight w:val="1083"/>
          <w:tblCellSpacing w:w="15" w:type="dxa"/>
        </w:trPr>
        <w:tc>
          <w:tcPr>
            <w:tcW w:w="2488" w:type="pct"/>
            <w:tcBorders>
              <w:top w:val="nil"/>
              <w:left w:val="nil"/>
              <w:bottom w:val="nil"/>
              <w:right w:val="nil"/>
            </w:tcBorders>
            <w:shd w:val="clear" w:color="auto" w:fill="9EAFFF"/>
          </w:tcPr>
          <w:p w14:paraId="57B215A3" w14:textId="2732C473" w:rsidR="00AA7511" w:rsidRPr="00D57AAA" w:rsidRDefault="00AA7511" w:rsidP="00DA6A83">
            <w:pPr>
              <w:spacing w:line="360" w:lineRule="atLeast"/>
              <w:rPr>
                <w:rFonts w:asciiTheme="majorHAnsi" w:eastAsia="Times New Roman" w:hAnsiTheme="majorHAnsi" w:cs="Arial"/>
                <w:sz w:val="32"/>
                <w:szCs w:val="32"/>
                <w:bdr w:val="none" w:sz="0" w:space="0" w:color="auto" w:frame="1"/>
              </w:rPr>
            </w:pPr>
            <w:r w:rsidRPr="00D57AAA">
              <w:rPr>
                <w:rFonts w:asciiTheme="majorHAnsi" w:eastAsia="Times New Roman" w:hAnsiTheme="majorHAnsi" w:cs="Arial"/>
                <w:sz w:val="32"/>
                <w:szCs w:val="32"/>
                <w:bdr w:val="none" w:sz="0" w:space="0" w:color="auto" w:frame="1"/>
              </w:rPr>
              <w:t>After a few face-to-face group interactions, a small number of individuals develop the strategic plan</w:t>
            </w:r>
          </w:p>
        </w:tc>
        <w:tc>
          <w:tcPr>
            <w:tcW w:w="2488" w:type="pct"/>
            <w:tcBorders>
              <w:top w:val="nil"/>
              <w:left w:val="nil"/>
              <w:bottom w:val="nil"/>
              <w:right w:val="nil"/>
            </w:tcBorders>
            <w:shd w:val="clear" w:color="auto" w:fill="FFB82F"/>
          </w:tcPr>
          <w:p w14:paraId="65F4F23E" w14:textId="0BCDE2D0" w:rsidR="00AA7511" w:rsidRPr="00D57AAA" w:rsidRDefault="00AA7511" w:rsidP="00DA6A83">
            <w:pPr>
              <w:spacing w:line="360" w:lineRule="atLeast"/>
              <w:rPr>
                <w:rFonts w:asciiTheme="majorHAnsi" w:eastAsia="Times New Roman" w:hAnsiTheme="majorHAnsi" w:cs="Arial"/>
                <w:sz w:val="32"/>
                <w:szCs w:val="32"/>
                <w:bdr w:val="none" w:sz="0" w:space="0" w:color="auto" w:frame="1"/>
              </w:rPr>
            </w:pPr>
            <w:r w:rsidRPr="00D57AAA">
              <w:rPr>
                <w:rFonts w:asciiTheme="majorHAnsi" w:eastAsia="Times New Roman" w:hAnsiTheme="majorHAnsi" w:cs="Arial"/>
                <w:sz w:val="32"/>
                <w:szCs w:val="32"/>
                <w:bdr w:val="none" w:sz="0" w:space="0" w:color="auto" w:frame="1"/>
              </w:rPr>
              <w:t>Living strategy continuously evolves out of ongoing, seamlessly interwoven individual reflection and work and group, face-to-face, and virtual interactions and collaborations</w:t>
            </w:r>
          </w:p>
        </w:tc>
      </w:tr>
      <w:tr w:rsidR="00AA7511" w:rsidRPr="00D57AAA" w14:paraId="069F24B0" w14:textId="77777777" w:rsidTr="006C520E">
        <w:trPr>
          <w:trHeight w:val="1083"/>
          <w:tblCellSpacing w:w="15" w:type="dxa"/>
        </w:trPr>
        <w:tc>
          <w:tcPr>
            <w:tcW w:w="2488" w:type="pct"/>
            <w:tcBorders>
              <w:top w:val="nil"/>
              <w:left w:val="nil"/>
              <w:bottom w:val="nil"/>
              <w:right w:val="nil"/>
            </w:tcBorders>
            <w:shd w:val="clear" w:color="auto" w:fill="9EAFFF"/>
          </w:tcPr>
          <w:p w14:paraId="242B68A3" w14:textId="6674BAE5" w:rsidR="00AA7511" w:rsidRPr="00D57AAA" w:rsidRDefault="00AA7511" w:rsidP="00DA6A83">
            <w:pPr>
              <w:spacing w:line="360" w:lineRule="atLeast"/>
              <w:rPr>
                <w:rFonts w:asciiTheme="majorHAnsi" w:eastAsia="Times New Roman" w:hAnsiTheme="majorHAnsi" w:cs="Arial"/>
                <w:sz w:val="32"/>
                <w:szCs w:val="32"/>
                <w:bdr w:val="none" w:sz="0" w:space="0" w:color="auto" w:frame="1"/>
              </w:rPr>
            </w:pPr>
            <w:r w:rsidRPr="00D57AAA">
              <w:rPr>
                <w:rFonts w:asciiTheme="majorHAnsi" w:eastAsia="Times New Roman" w:hAnsiTheme="majorHAnsi" w:cs="Arial"/>
                <w:sz w:val="32"/>
                <w:szCs w:val="32"/>
                <w:bdr w:val="none" w:sz="0" w:space="0" w:color="auto" w:frame="1"/>
              </w:rPr>
              <w:t>Strategic planning tends to move as quickly as possible to solutions and actions and leave little time for reflective thought and conversation</w:t>
            </w:r>
          </w:p>
        </w:tc>
        <w:tc>
          <w:tcPr>
            <w:tcW w:w="2488" w:type="pct"/>
            <w:tcBorders>
              <w:top w:val="nil"/>
              <w:left w:val="nil"/>
              <w:bottom w:val="nil"/>
              <w:right w:val="nil"/>
            </w:tcBorders>
            <w:shd w:val="clear" w:color="auto" w:fill="FFB82F"/>
          </w:tcPr>
          <w:p w14:paraId="3059F880" w14:textId="23792020" w:rsidR="00AA7511" w:rsidRPr="00D57AAA" w:rsidRDefault="00AA7511" w:rsidP="00CE3CE3">
            <w:pPr>
              <w:spacing w:line="360" w:lineRule="atLeast"/>
              <w:rPr>
                <w:rFonts w:asciiTheme="majorHAnsi" w:eastAsia="Times New Roman" w:hAnsiTheme="majorHAnsi" w:cs="Arial"/>
                <w:sz w:val="32"/>
                <w:szCs w:val="32"/>
                <w:bdr w:val="none" w:sz="0" w:space="0" w:color="auto" w:frame="1"/>
              </w:rPr>
            </w:pPr>
            <w:r w:rsidRPr="00D57AAA">
              <w:rPr>
                <w:rFonts w:asciiTheme="majorHAnsi" w:eastAsia="Times New Roman" w:hAnsiTheme="majorHAnsi" w:cs="Arial"/>
                <w:sz w:val="32"/>
                <w:szCs w:val="32"/>
                <w:bdr w:val="none" w:sz="0" w:space="0" w:color="auto" w:frame="1"/>
              </w:rPr>
              <w:t>Living strategy emphasizes conversation as a core business process. The association is skilled at knowing when to “stay in the question,” thinking about the most meaningful issues, and when it’s time to act quickly and decisively</w:t>
            </w:r>
          </w:p>
        </w:tc>
      </w:tr>
    </w:tbl>
    <w:p w14:paraId="13FD2E14" w14:textId="3A513B84" w:rsidR="006D16E2" w:rsidRPr="00D57AAA" w:rsidRDefault="006D16E2">
      <w:pPr>
        <w:rPr>
          <w:rFonts w:asciiTheme="majorHAnsi" w:hAnsiTheme="majorHAnsi"/>
          <w:sz w:val="18"/>
          <w:szCs w:val="18"/>
        </w:rPr>
      </w:pPr>
      <w:r w:rsidRPr="00D57AAA">
        <w:rPr>
          <w:rFonts w:asciiTheme="majorHAnsi" w:hAnsiTheme="majorHAnsi"/>
          <w:bCs/>
          <w:sz w:val="18"/>
          <w:szCs w:val="18"/>
        </w:rPr>
        <w:t xml:space="preserve">Living Strategy: Guiding Your Association through the Rugged Landscape Ahead </w:t>
      </w:r>
      <w:r w:rsidRPr="00D57AAA">
        <w:rPr>
          <w:rFonts w:asciiTheme="majorHAnsi" w:hAnsiTheme="majorHAnsi"/>
          <w:bCs/>
          <w:sz w:val="18"/>
          <w:szCs w:val="18"/>
        </w:rPr>
        <w:br/>
        <w:t xml:space="preserve">By: Paul </w:t>
      </w:r>
      <w:proofErr w:type="spellStart"/>
      <w:r w:rsidRPr="00D57AAA">
        <w:rPr>
          <w:rFonts w:asciiTheme="majorHAnsi" w:hAnsiTheme="majorHAnsi"/>
          <w:bCs/>
          <w:sz w:val="18"/>
          <w:szCs w:val="18"/>
        </w:rPr>
        <w:t>Borawski</w:t>
      </w:r>
      <w:proofErr w:type="spellEnd"/>
      <w:r w:rsidRPr="00D57AAA">
        <w:rPr>
          <w:rFonts w:asciiTheme="majorHAnsi" w:hAnsiTheme="majorHAnsi"/>
          <w:bCs/>
          <w:sz w:val="18"/>
          <w:szCs w:val="18"/>
        </w:rPr>
        <w:t xml:space="preserve"> and Arian Ward Journal of Association Leadership, Winter 2004</w:t>
      </w:r>
    </w:p>
    <w:sectPr w:rsidR="006D16E2" w:rsidRPr="00D57AAA" w:rsidSect="006C520E">
      <w:pgSz w:w="20160" w:h="12240" w:orient="landscape"/>
      <w:pgMar w:top="432" w:right="720" w:bottom="720" w:left="720" w:header="0" w:footer="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83"/>
    <w:rsid w:val="001C4100"/>
    <w:rsid w:val="00363D54"/>
    <w:rsid w:val="003B00CF"/>
    <w:rsid w:val="004C0CBA"/>
    <w:rsid w:val="005807C3"/>
    <w:rsid w:val="006C520E"/>
    <w:rsid w:val="006D16E2"/>
    <w:rsid w:val="00AA7511"/>
    <w:rsid w:val="00CE3CE3"/>
    <w:rsid w:val="00CF56C3"/>
    <w:rsid w:val="00D57AAA"/>
    <w:rsid w:val="00DA6A83"/>
    <w:rsid w:val="00E85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343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6A83"/>
    <w:rPr>
      <w:b/>
      <w:bCs/>
    </w:rPr>
  </w:style>
  <w:style w:type="paragraph" w:styleId="NormalWeb">
    <w:name w:val="Normal (Web)"/>
    <w:basedOn w:val="Normal"/>
    <w:uiPriority w:val="99"/>
    <w:unhideWhenUsed/>
    <w:rsid w:val="00DA6A8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A6A83"/>
    <w:rPr>
      <w:color w:val="0000FF" w:themeColor="hyperlink"/>
      <w:u w:val="single"/>
    </w:rPr>
  </w:style>
  <w:style w:type="character" w:customStyle="1" w:styleId="apple-converted-space">
    <w:name w:val="apple-converted-space"/>
    <w:basedOn w:val="DefaultParagraphFont"/>
    <w:rsid w:val="00DA6A83"/>
  </w:style>
  <w:style w:type="character" w:styleId="Emphasis">
    <w:name w:val="Emphasis"/>
    <w:basedOn w:val="DefaultParagraphFont"/>
    <w:uiPriority w:val="20"/>
    <w:qFormat/>
    <w:rsid w:val="00DA6A8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6A83"/>
    <w:rPr>
      <w:b/>
      <w:bCs/>
    </w:rPr>
  </w:style>
  <w:style w:type="paragraph" w:styleId="NormalWeb">
    <w:name w:val="Normal (Web)"/>
    <w:basedOn w:val="Normal"/>
    <w:uiPriority w:val="99"/>
    <w:unhideWhenUsed/>
    <w:rsid w:val="00DA6A8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A6A83"/>
    <w:rPr>
      <w:color w:val="0000FF" w:themeColor="hyperlink"/>
      <w:u w:val="single"/>
    </w:rPr>
  </w:style>
  <w:style w:type="character" w:customStyle="1" w:styleId="apple-converted-space">
    <w:name w:val="apple-converted-space"/>
    <w:basedOn w:val="DefaultParagraphFont"/>
    <w:rsid w:val="00DA6A83"/>
  </w:style>
  <w:style w:type="character" w:styleId="Emphasis">
    <w:name w:val="Emphasis"/>
    <w:basedOn w:val="DefaultParagraphFont"/>
    <w:uiPriority w:val="20"/>
    <w:qFormat/>
    <w:rsid w:val="00DA6A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1345">
      <w:bodyDiv w:val="1"/>
      <w:marLeft w:val="0"/>
      <w:marRight w:val="0"/>
      <w:marTop w:val="0"/>
      <w:marBottom w:val="0"/>
      <w:divBdr>
        <w:top w:val="none" w:sz="0" w:space="0" w:color="auto"/>
        <w:left w:val="none" w:sz="0" w:space="0" w:color="auto"/>
        <w:bottom w:val="none" w:sz="0" w:space="0" w:color="auto"/>
        <w:right w:val="none" w:sz="0" w:space="0" w:color="auto"/>
      </w:divBdr>
    </w:div>
    <w:div w:id="455636545">
      <w:bodyDiv w:val="1"/>
      <w:marLeft w:val="0"/>
      <w:marRight w:val="0"/>
      <w:marTop w:val="0"/>
      <w:marBottom w:val="0"/>
      <w:divBdr>
        <w:top w:val="none" w:sz="0" w:space="0" w:color="auto"/>
        <w:left w:val="none" w:sz="0" w:space="0" w:color="auto"/>
        <w:bottom w:val="none" w:sz="0" w:space="0" w:color="auto"/>
        <w:right w:val="none" w:sz="0" w:space="0" w:color="auto"/>
      </w:divBdr>
    </w:div>
    <w:div w:id="696084614">
      <w:bodyDiv w:val="1"/>
      <w:marLeft w:val="0"/>
      <w:marRight w:val="0"/>
      <w:marTop w:val="0"/>
      <w:marBottom w:val="0"/>
      <w:divBdr>
        <w:top w:val="none" w:sz="0" w:space="0" w:color="auto"/>
        <w:left w:val="none" w:sz="0" w:space="0" w:color="auto"/>
        <w:bottom w:val="none" w:sz="0" w:space="0" w:color="auto"/>
        <w:right w:val="none" w:sz="0" w:space="0" w:color="auto"/>
      </w:divBdr>
    </w:div>
    <w:div w:id="1239898908">
      <w:bodyDiv w:val="1"/>
      <w:marLeft w:val="0"/>
      <w:marRight w:val="0"/>
      <w:marTop w:val="0"/>
      <w:marBottom w:val="0"/>
      <w:divBdr>
        <w:top w:val="none" w:sz="0" w:space="0" w:color="auto"/>
        <w:left w:val="none" w:sz="0" w:space="0" w:color="auto"/>
        <w:bottom w:val="none" w:sz="0" w:space="0" w:color="auto"/>
        <w:right w:val="none" w:sz="0" w:space="0" w:color="auto"/>
      </w:divBdr>
    </w:div>
    <w:div w:id="1465731352">
      <w:bodyDiv w:val="1"/>
      <w:marLeft w:val="0"/>
      <w:marRight w:val="0"/>
      <w:marTop w:val="0"/>
      <w:marBottom w:val="0"/>
      <w:divBdr>
        <w:top w:val="none" w:sz="0" w:space="0" w:color="auto"/>
        <w:left w:val="none" w:sz="0" w:space="0" w:color="auto"/>
        <w:bottom w:val="none" w:sz="0" w:space="0" w:color="auto"/>
        <w:right w:val="none" w:sz="0" w:space="0" w:color="auto"/>
      </w:divBdr>
    </w:div>
    <w:div w:id="1669868591">
      <w:bodyDiv w:val="1"/>
      <w:marLeft w:val="0"/>
      <w:marRight w:val="0"/>
      <w:marTop w:val="0"/>
      <w:marBottom w:val="0"/>
      <w:divBdr>
        <w:top w:val="none" w:sz="0" w:space="0" w:color="auto"/>
        <w:left w:val="none" w:sz="0" w:space="0" w:color="auto"/>
        <w:bottom w:val="none" w:sz="0" w:space="0" w:color="auto"/>
        <w:right w:val="none" w:sz="0" w:space="0" w:color="auto"/>
      </w:divBdr>
    </w:div>
    <w:div w:id="1858688342">
      <w:bodyDiv w:val="1"/>
      <w:marLeft w:val="0"/>
      <w:marRight w:val="0"/>
      <w:marTop w:val="0"/>
      <w:marBottom w:val="0"/>
      <w:divBdr>
        <w:top w:val="none" w:sz="0" w:space="0" w:color="auto"/>
        <w:left w:val="none" w:sz="0" w:space="0" w:color="auto"/>
        <w:bottom w:val="none" w:sz="0" w:space="0" w:color="auto"/>
        <w:right w:val="none" w:sz="0" w:space="0" w:color="auto"/>
      </w:divBdr>
    </w:div>
    <w:div w:id="2090809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2024</Characters>
  <Application>Microsoft Macintosh Word</Application>
  <DocSecurity>0</DocSecurity>
  <Lines>16</Lines>
  <Paragraphs>4</Paragraphs>
  <ScaleCrop>false</ScaleCrop>
  <Company>Hawaii Pacific University</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Blanton</dc:creator>
  <cp:keywords/>
  <dc:description/>
  <cp:lastModifiedBy>Sharon Blanton</cp:lastModifiedBy>
  <cp:revision>3</cp:revision>
  <cp:lastPrinted>2014-02-04T02:45:00Z</cp:lastPrinted>
  <dcterms:created xsi:type="dcterms:W3CDTF">2014-02-04T02:50:00Z</dcterms:created>
  <dcterms:modified xsi:type="dcterms:W3CDTF">2014-02-04T02:57:00Z</dcterms:modified>
</cp:coreProperties>
</file>